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C57" w:rsidRDefault="00B03319" w:rsidP="00C918F8">
      <w:pPr>
        <w:spacing w:after="240" w:line="240" w:lineRule="auto"/>
        <w:jc w:val="center"/>
        <w:rPr>
          <w:i/>
          <w:sz w:val="20"/>
          <w:szCs w:val="20"/>
        </w:rPr>
      </w:pPr>
      <w:r>
        <w:rPr>
          <w:noProof/>
        </w:rPr>
        <w:drawing>
          <wp:anchor distT="0" distB="0" distL="114300" distR="114300" simplePos="0" relativeHeight="251661312" behindDoc="0" locked="0" layoutInCell="1" allowOverlap="1" wp14:anchorId="629EF896" wp14:editId="07B37B78">
            <wp:simplePos x="0" y="0"/>
            <wp:positionH relativeFrom="column">
              <wp:posOffset>3084195</wp:posOffset>
            </wp:positionH>
            <wp:positionV relativeFrom="paragraph">
              <wp:posOffset>-154305</wp:posOffset>
            </wp:positionV>
            <wp:extent cx="3541395" cy="1617345"/>
            <wp:effectExtent l="0" t="0" r="1905" b="1905"/>
            <wp:wrapSquare wrapText="bothSides"/>
            <wp:docPr id="3" name="Picture 3" descr="http://www.paulathroughthelookingglass.com/wp-content/uploads/2015/07/IND_indonesia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ulathroughthelookingglass.com/wp-content/uploads/2015/07/IND_indonesia_map.pn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4139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8F8">
        <w:rPr>
          <w:i/>
          <w:sz w:val="20"/>
          <w:szCs w:val="20"/>
        </w:rPr>
        <w:t>Read through this academic article about Indonesian folk culture. Highlight 5 quotes that represent the main ideas of t</w:t>
      </w:r>
      <w:r w:rsidR="00701C57">
        <w:rPr>
          <w:i/>
          <w:sz w:val="20"/>
          <w:szCs w:val="20"/>
        </w:rPr>
        <w:t>his article or stand out to you. Write 1 sentence per quote explaining why you choose that quote.</w:t>
      </w:r>
    </w:p>
    <w:p w:rsidR="00C918F8" w:rsidRPr="00B03319" w:rsidRDefault="00B03319" w:rsidP="00C918F8">
      <w:pPr>
        <w:spacing w:after="240" w:line="240" w:lineRule="auto"/>
        <w:jc w:val="center"/>
        <w:rPr>
          <w:i/>
          <w:sz w:val="20"/>
          <w:szCs w:val="20"/>
        </w:rPr>
      </w:pPr>
      <w:bookmarkStart w:id="0" w:name="_GoBack"/>
      <w:bookmarkEnd w:id="0"/>
      <w:r>
        <w:rPr>
          <w:b/>
          <w:i/>
          <w:sz w:val="20"/>
          <w:szCs w:val="20"/>
        </w:rPr>
        <w:t xml:space="preserve"> </w:t>
      </w:r>
      <w:r>
        <w:rPr>
          <w:i/>
          <w:sz w:val="20"/>
          <w:szCs w:val="20"/>
        </w:rPr>
        <w:t xml:space="preserve">Due October </w:t>
      </w:r>
      <w:r w:rsidR="001A4E7D">
        <w:rPr>
          <w:i/>
          <w:sz w:val="20"/>
          <w:szCs w:val="20"/>
        </w:rPr>
        <w:t>17</w:t>
      </w:r>
      <w:r>
        <w:rPr>
          <w:i/>
          <w:sz w:val="20"/>
          <w:szCs w:val="20"/>
        </w:rPr>
        <w:t>.</w:t>
      </w:r>
    </w:p>
    <w:p w:rsidR="00C918F8" w:rsidRPr="00C918F8" w:rsidRDefault="00C918F8" w:rsidP="00C918F8">
      <w:pPr>
        <w:jc w:val="center"/>
        <w:rPr>
          <w:b/>
          <w:sz w:val="24"/>
          <w:szCs w:val="24"/>
          <w:u w:val="single"/>
        </w:rPr>
      </w:pPr>
      <w:r w:rsidRPr="00C918F8">
        <w:rPr>
          <w:b/>
          <w:sz w:val="24"/>
          <w:szCs w:val="24"/>
          <w:u w:val="single"/>
        </w:rPr>
        <w:t>Relationships of Musical and Cultural Contrasts in Java and Bali</w:t>
      </w:r>
    </w:p>
    <w:p w:rsidR="00B03319" w:rsidRPr="00C918F8" w:rsidRDefault="00C918F8" w:rsidP="00B03319">
      <w:pPr>
        <w:ind w:left="720" w:firstLine="720"/>
        <w:rPr>
          <w:sz w:val="18"/>
          <w:szCs w:val="18"/>
        </w:rPr>
      </w:pPr>
      <w:r w:rsidRPr="00C918F8">
        <w:rPr>
          <w:sz w:val="18"/>
          <w:szCs w:val="18"/>
        </w:rPr>
        <w:t>By Fredric Lieberman</w:t>
      </w:r>
    </w:p>
    <w:p w:rsidR="00C918F8" w:rsidRPr="00447D31" w:rsidRDefault="00B03319" w:rsidP="00B03319">
      <w:pPr>
        <w:spacing w:after="240"/>
        <w:jc w:val="right"/>
        <w:rPr>
          <w:b/>
          <w:sz w:val="19"/>
          <w:szCs w:val="19"/>
        </w:rPr>
      </w:pPr>
      <w:r w:rsidRPr="00447D31">
        <w:rPr>
          <w:noProof/>
          <w:sz w:val="19"/>
          <w:szCs w:val="19"/>
        </w:rPr>
        <w:drawing>
          <wp:anchor distT="0" distB="0" distL="114300" distR="114300" simplePos="0" relativeHeight="251660288" behindDoc="0" locked="0" layoutInCell="1" allowOverlap="1" wp14:anchorId="46FE9F72" wp14:editId="3137C24A">
            <wp:simplePos x="0" y="0"/>
            <wp:positionH relativeFrom="column">
              <wp:posOffset>-332740</wp:posOffset>
            </wp:positionH>
            <wp:positionV relativeFrom="paragraph">
              <wp:posOffset>273050</wp:posOffset>
            </wp:positionV>
            <wp:extent cx="3678555" cy="2952750"/>
            <wp:effectExtent l="0" t="0" r="0" b="0"/>
            <wp:wrapSquare wrapText="bothSides"/>
            <wp:docPr id="4" name="Picture 4" descr="http://3.bp.blogspot.com/-ncx15zlOTTs/TkrohXS0QBI/AAAAAAAACfs/AQggu1vDkLo/s1600/game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ncx15zlOTTs/TkrohXS0QBI/AAAAAAAACfs/AQggu1vDkLo/s1600/gamelan2.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7855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785" w:rsidRPr="00447D31">
        <w:rPr>
          <w:b/>
          <w:sz w:val="19"/>
          <w:szCs w:val="19"/>
        </w:rPr>
        <w:t>Contrasts of Music Style</w:t>
      </w:r>
      <w:r>
        <w:rPr>
          <w:b/>
          <w:sz w:val="19"/>
          <w:szCs w:val="19"/>
        </w:rPr>
        <w:tab/>
      </w:r>
      <w:r>
        <w:rPr>
          <w:b/>
          <w:sz w:val="19"/>
          <w:szCs w:val="19"/>
        </w:rPr>
        <w:tab/>
      </w:r>
      <w:r>
        <w:rPr>
          <w:b/>
          <w:sz w:val="19"/>
          <w:szCs w:val="19"/>
        </w:rPr>
        <w:tab/>
      </w:r>
    </w:p>
    <w:p w:rsidR="00C918F8" w:rsidRPr="00447D31" w:rsidRDefault="00C918F8" w:rsidP="00C918F8">
      <w:pPr>
        <w:rPr>
          <w:sz w:val="19"/>
          <w:szCs w:val="19"/>
        </w:rPr>
      </w:pPr>
      <w:r w:rsidRPr="00447D31">
        <w:rPr>
          <w:sz w:val="19"/>
          <w:szCs w:val="19"/>
        </w:rPr>
        <w:t>Perhaps the best summary of the contrasts is that of McPhee:</w:t>
      </w:r>
    </w:p>
    <w:p w:rsidR="00C918F8" w:rsidRPr="00447D31" w:rsidRDefault="00C918F8" w:rsidP="00C918F8">
      <w:pPr>
        <w:tabs>
          <w:tab w:val="left" w:pos="9720"/>
        </w:tabs>
        <w:ind w:left="720" w:right="504"/>
        <w:rPr>
          <w:sz w:val="19"/>
          <w:szCs w:val="19"/>
        </w:rPr>
      </w:pPr>
      <w:r w:rsidRPr="00447D31">
        <w:rPr>
          <w:sz w:val="19"/>
          <w:szCs w:val="19"/>
        </w:rPr>
        <w:t>Javanese gamelans have an incredibly soft, legato</w:t>
      </w:r>
      <w:r w:rsidR="00C8569F" w:rsidRPr="00447D31">
        <w:rPr>
          <w:rStyle w:val="FootnoteReference"/>
          <w:sz w:val="19"/>
          <w:szCs w:val="19"/>
        </w:rPr>
        <w:footnoteReference w:id="1"/>
      </w:r>
      <w:r w:rsidRPr="00447D31">
        <w:rPr>
          <w:sz w:val="19"/>
          <w:szCs w:val="19"/>
        </w:rPr>
        <w:t>, velvet sound; the hammers and mallets that are used to strike the metallophones</w:t>
      </w:r>
      <w:r w:rsidR="00453D11" w:rsidRPr="00447D31">
        <w:rPr>
          <w:rStyle w:val="FootnoteReference"/>
          <w:sz w:val="19"/>
          <w:szCs w:val="19"/>
        </w:rPr>
        <w:footnoteReference w:id="2"/>
      </w:r>
      <w:r w:rsidRPr="00447D31">
        <w:rPr>
          <w:sz w:val="19"/>
          <w:szCs w:val="19"/>
        </w:rPr>
        <w:t xml:space="preserve"> and gongs are padded so thickly as to eliminate all shock. Tempos are slow and stately, and there is little change in dynamics; the prevailing mood is one of untroubled calm and mystic serenity. Balinese music, on the other hand, is vigorous, rhythmic, explosive in quality; the </w:t>
      </w:r>
      <w:r w:rsidRPr="00447D31">
        <w:rPr>
          <w:i/>
          <w:sz w:val="19"/>
          <w:szCs w:val="19"/>
        </w:rPr>
        <w:t>gamelan</w:t>
      </w:r>
      <w:r w:rsidR="00C8569F" w:rsidRPr="00447D31">
        <w:rPr>
          <w:rStyle w:val="FootnoteReference"/>
          <w:i/>
          <w:sz w:val="19"/>
          <w:szCs w:val="19"/>
        </w:rPr>
        <w:footnoteReference w:id="3"/>
      </w:r>
      <w:r w:rsidRPr="00447D31">
        <w:rPr>
          <w:i/>
          <w:sz w:val="19"/>
          <w:szCs w:val="19"/>
        </w:rPr>
        <w:t>s</w:t>
      </w:r>
      <w:r w:rsidRPr="00447D31">
        <w:rPr>
          <w:sz w:val="19"/>
          <w:szCs w:val="19"/>
        </w:rPr>
        <w:t xml:space="preserve"> sound bright and percussive; hard hammers of wood or horn are used for many instruments, and the thin clash of cymbals underlies every tone; only the great gongs are gently struck. While the classic calm of Javanese music and dance is never disturbed, music and dance in Bali is turbulent</w:t>
      </w:r>
      <w:r w:rsidR="005D3FCD" w:rsidRPr="00447D31">
        <w:rPr>
          <w:rStyle w:val="FootnoteReference"/>
          <w:sz w:val="19"/>
          <w:szCs w:val="19"/>
        </w:rPr>
        <w:footnoteReference w:id="4"/>
      </w:r>
      <w:r w:rsidRPr="00447D31">
        <w:rPr>
          <w:sz w:val="19"/>
          <w:szCs w:val="19"/>
        </w:rPr>
        <w:t xml:space="preserve"> and dramatic, filled with contrast and bold effects. Javanese musicians find the music of Bali barbaric. Balinese complain that the music of Java "sends them to sleep." (</w:t>
      </w:r>
      <w:proofErr w:type="gramStart"/>
      <w:r w:rsidRPr="00447D31">
        <w:rPr>
          <w:sz w:val="19"/>
          <w:szCs w:val="19"/>
        </w:rPr>
        <w:t>1949:25l )</w:t>
      </w:r>
      <w:proofErr w:type="gramEnd"/>
    </w:p>
    <w:p w:rsidR="00C918F8" w:rsidRPr="00447D31" w:rsidRDefault="00C918F8" w:rsidP="00BA3E74">
      <w:pPr>
        <w:jc w:val="right"/>
        <w:rPr>
          <w:sz w:val="19"/>
          <w:szCs w:val="19"/>
        </w:rPr>
      </w:pPr>
    </w:p>
    <w:p w:rsidR="00C918F8" w:rsidRPr="00447D31" w:rsidRDefault="00C918F8" w:rsidP="00C918F8">
      <w:pPr>
        <w:spacing w:after="240"/>
        <w:rPr>
          <w:b/>
          <w:sz w:val="19"/>
          <w:szCs w:val="19"/>
        </w:rPr>
      </w:pPr>
      <w:r w:rsidRPr="00447D31">
        <w:rPr>
          <w:b/>
          <w:sz w:val="19"/>
          <w:szCs w:val="19"/>
        </w:rPr>
        <w:t>Patterns of Cultural Variation</w:t>
      </w:r>
      <w:r w:rsidR="00BA3E74" w:rsidRPr="00447D31">
        <w:rPr>
          <w:b/>
          <w:sz w:val="19"/>
          <w:szCs w:val="19"/>
        </w:rPr>
        <w:t xml:space="preserve"> </w:t>
      </w:r>
    </w:p>
    <w:p w:rsidR="00C918F8" w:rsidRPr="00447D31" w:rsidRDefault="00C918F8" w:rsidP="00C918F8">
      <w:pPr>
        <w:rPr>
          <w:sz w:val="19"/>
          <w:szCs w:val="19"/>
        </w:rPr>
      </w:pPr>
      <w:proofErr w:type="spellStart"/>
      <w:r w:rsidRPr="00447D31">
        <w:rPr>
          <w:i/>
          <w:sz w:val="19"/>
          <w:szCs w:val="19"/>
        </w:rPr>
        <w:t>Wayang</w:t>
      </w:r>
      <w:proofErr w:type="spellEnd"/>
      <w:r w:rsidRPr="00447D31">
        <w:rPr>
          <w:sz w:val="19"/>
          <w:szCs w:val="19"/>
        </w:rPr>
        <w:t>, the puppet theater, is a major element in both Javanese and Balinese society, important both as an integral part of many rituals and as a repository</w:t>
      </w:r>
      <w:r w:rsidR="00F22478" w:rsidRPr="00447D31">
        <w:rPr>
          <w:rStyle w:val="FootnoteReference"/>
          <w:sz w:val="19"/>
          <w:szCs w:val="19"/>
        </w:rPr>
        <w:footnoteReference w:id="5"/>
      </w:r>
      <w:r w:rsidRPr="00447D31">
        <w:rPr>
          <w:sz w:val="19"/>
          <w:szCs w:val="19"/>
        </w:rPr>
        <w:t xml:space="preserve"> of tradition with overtones of ancestor-worship. In Bali, </w:t>
      </w:r>
      <w:proofErr w:type="spellStart"/>
      <w:r w:rsidRPr="00447D31">
        <w:rPr>
          <w:i/>
          <w:sz w:val="19"/>
          <w:szCs w:val="19"/>
        </w:rPr>
        <w:t>wayang</w:t>
      </w:r>
      <w:proofErr w:type="spellEnd"/>
      <w:r w:rsidRPr="00447D31">
        <w:rPr>
          <w:sz w:val="19"/>
          <w:szCs w:val="19"/>
        </w:rPr>
        <w:t xml:space="preserve"> is perfo</w:t>
      </w:r>
      <w:r w:rsidR="00D522B0" w:rsidRPr="00447D31">
        <w:rPr>
          <w:sz w:val="19"/>
          <w:szCs w:val="19"/>
        </w:rPr>
        <w:t>r</w:t>
      </w:r>
      <w:r w:rsidRPr="00447D31">
        <w:rPr>
          <w:sz w:val="19"/>
          <w:szCs w:val="19"/>
        </w:rPr>
        <w:t>med exclusively with flat leather puppets (</w:t>
      </w:r>
      <w:proofErr w:type="spellStart"/>
      <w:r w:rsidRPr="00447D31">
        <w:rPr>
          <w:i/>
          <w:sz w:val="19"/>
          <w:szCs w:val="19"/>
        </w:rPr>
        <w:t>kulit</w:t>
      </w:r>
      <w:proofErr w:type="spellEnd"/>
      <w:r w:rsidRPr="00447D31">
        <w:rPr>
          <w:sz w:val="19"/>
          <w:szCs w:val="19"/>
        </w:rPr>
        <w:t>). Javanese variants exist with puppets of flat wood (</w:t>
      </w:r>
      <w:proofErr w:type="spellStart"/>
      <w:r w:rsidRPr="00447D31">
        <w:rPr>
          <w:i/>
          <w:sz w:val="19"/>
          <w:szCs w:val="19"/>
        </w:rPr>
        <w:t>klitik</w:t>
      </w:r>
      <w:proofErr w:type="spellEnd"/>
      <w:r w:rsidRPr="00447D31">
        <w:rPr>
          <w:sz w:val="19"/>
          <w:szCs w:val="19"/>
        </w:rPr>
        <w:t>), round wood (</w:t>
      </w:r>
      <w:proofErr w:type="spellStart"/>
      <w:r w:rsidRPr="00447D31">
        <w:rPr>
          <w:i/>
          <w:sz w:val="19"/>
          <w:szCs w:val="19"/>
        </w:rPr>
        <w:t>golek</w:t>
      </w:r>
      <w:proofErr w:type="spellEnd"/>
      <w:r w:rsidRPr="00447D31">
        <w:rPr>
          <w:sz w:val="19"/>
          <w:szCs w:val="19"/>
        </w:rPr>
        <w:t>), and with no puppets at all, in an extremely rare moribund tradition (</w:t>
      </w:r>
      <w:proofErr w:type="spellStart"/>
      <w:r w:rsidRPr="00447D31">
        <w:rPr>
          <w:i/>
          <w:sz w:val="19"/>
          <w:szCs w:val="19"/>
        </w:rPr>
        <w:t>beber</w:t>
      </w:r>
      <w:proofErr w:type="spellEnd"/>
      <w:r w:rsidRPr="00447D31">
        <w:rPr>
          <w:sz w:val="19"/>
          <w:szCs w:val="19"/>
        </w:rPr>
        <w:t xml:space="preserve">) in which the scenes are painted on a long scroll which unrolls as the story is recited. The major Javanese form, however, is </w:t>
      </w:r>
      <w:proofErr w:type="spellStart"/>
      <w:r w:rsidRPr="00447D31">
        <w:rPr>
          <w:i/>
          <w:sz w:val="19"/>
          <w:szCs w:val="19"/>
        </w:rPr>
        <w:t>wayang</w:t>
      </w:r>
      <w:proofErr w:type="spellEnd"/>
      <w:r w:rsidRPr="00447D31">
        <w:rPr>
          <w:sz w:val="19"/>
          <w:szCs w:val="19"/>
        </w:rPr>
        <w:t xml:space="preserve"> </w:t>
      </w:r>
      <w:proofErr w:type="spellStart"/>
      <w:r w:rsidRPr="00447D31">
        <w:rPr>
          <w:i/>
          <w:sz w:val="19"/>
          <w:szCs w:val="19"/>
        </w:rPr>
        <w:t>kulit</w:t>
      </w:r>
      <w:proofErr w:type="spellEnd"/>
      <w:r w:rsidR="005C7C8D" w:rsidRPr="00447D31">
        <w:rPr>
          <w:sz w:val="19"/>
          <w:szCs w:val="19"/>
        </w:rPr>
        <w:t xml:space="preserve">. </w:t>
      </w:r>
      <w:proofErr w:type="spellStart"/>
      <w:r w:rsidR="005C7C8D" w:rsidRPr="00447D31">
        <w:rPr>
          <w:i/>
          <w:sz w:val="19"/>
          <w:szCs w:val="19"/>
        </w:rPr>
        <w:t>W</w:t>
      </w:r>
      <w:r w:rsidRPr="00447D31">
        <w:rPr>
          <w:i/>
          <w:sz w:val="19"/>
          <w:szCs w:val="19"/>
        </w:rPr>
        <w:t>ayang</w:t>
      </w:r>
      <w:proofErr w:type="spellEnd"/>
      <w:r w:rsidRPr="00447D31">
        <w:rPr>
          <w:sz w:val="19"/>
          <w:szCs w:val="19"/>
        </w:rPr>
        <w:t xml:space="preserve"> is accompanied by a full gamelan, in Bali by four </w:t>
      </w:r>
      <w:proofErr w:type="gramStart"/>
      <w:r w:rsidRPr="00447D31">
        <w:rPr>
          <w:sz w:val="19"/>
          <w:szCs w:val="19"/>
        </w:rPr>
        <w:t>gender</w:t>
      </w:r>
      <w:proofErr w:type="gramEnd"/>
      <w:r w:rsidRPr="00447D31">
        <w:rPr>
          <w:sz w:val="19"/>
          <w:szCs w:val="19"/>
        </w:rPr>
        <w:t xml:space="preserve">. The literature is largely drawn from the Mahabharata and the Ramayana, less popular being the indigenous culture-hero epics. In addition on special occasions (in Bali only), the story of </w:t>
      </w:r>
      <w:proofErr w:type="spellStart"/>
      <w:r w:rsidRPr="00447D31">
        <w:rPr>
          <w:sz w:val="19"/>
          <w:szCs w:val="19"/>
        </w:rPr>
        <w:t>Tjalanarong</w:t>
      </w:r>
      <w:proofErr w:type="spellEnd"/>
      <w:r w:rsidRPr="00447D31">
        <w:rPr>
          <w:sz w:val="19"/>
          <w:szCs w:val="19"/>
        </w:rPr>
        <w:t xml:space="preserve"> is performed. Balinese puppets are more realistic than the Javanese, which have become highly stylized. In fact, the Balinese puppets closely resemble the figures carved in bas-relief</w:t>
      </w:r>
      <w:r w:rsidR="005D3FCD" w:rsidRPr="00447D31">
        <w:rPr>
          <w:rStyle w:val="FootnoteReference"/>
          <w:sz w:val="19"/>
          <w:szCs w:val="19"/>
        </w:rPr>
        <w:footnoteReference w:id="6"/>
      </w:r>
      <w:r w:rsidRPr="00447D31">
        <w:rPr>
          <w:sz w:val="19"/>
          <w:szCs w:val="19"/>
        </w:rPr>
        <w:t xml:space="preserve"> on old Hindu temples of East Java (McPhee 1936:3). The Javanese </w:t>
      </w:r>
      <w:proofErr w:type="spellStart"/>
      <w:r w:rsidRPr="00447D31">
        <w:rPr>
          <w:i/>
          <w:sz w:val="19"/>
          <w:szCs w:val="19"/>
        </w:rPr>
        <w:t>wayang</w:t>
      </w:r>
      <w:proofErr w:type="spellEnd"/>
      <w:r w:rsidRPr="00447D31">
        <w:rPr>
          <w:sz w:val="19"/>
          <w:szCs w:val="19"/>
        </w:rPr>
        <w:t xml:space="preserve"> performance is more formal than that of Bali, lasting through the night, which is divided into three periods, each period having a corresponding type of action and musical mode. The Balinese </w:t>
      </w:r>
      <w:proofErr w:type="spellStart"/>
      <w:r w:rsidRPr="00447D31">
        <w:rPr>
          <w:i/>
          <w:sz w:val="19"/>
          <w:szCs w:val="19"/>
        </w:rPr>
        <w:t>wayang</w:t>
      </w:r>
      <w:proofErr w:type="spellEnd"/>
      <w:r w:rsidRPr="00447D31">
        <w:rPr>
          <w:sz w:val="19"/>
          <w:szCs w:val="19"/>
        </w:rPr>
        <w:t xml:space="preserve"> performance differs greatly in length and structure from night to night because it is ". . . determined by the </w:t>
      </w:r>
      <w:proofErr w:type="spellStart"/>
      <w:r w:rsidRPr="00447D31">
        <w:rPr>
          <w:i/>
          <w:sz w:val="19"/>
          <w:szCs w:val="19"/>
        </w:rPr>
        <w:t>dalang</w:t>
      </w:r>
      <w:proofErr w:type="spellEnd"/>
      <w:r w:rsidRPr="00447D31">
        <w:rPr>
          <w:sz w:val="19"/>
          <w:szCs w:val="19"/>
        </w:rPr>
        <w:t>, according to wages, enthusiasm of the audience, or the wish of the person who has engaged him." (McPhee 1936:3)</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lastRenderedPageBreak/>
        <w:t xml:space="preserve">It seems dear that one can contrast dance movement in Java and Bali with the same terms as were found applicable for music, because in both societies dance movement and music are in close cooperation. Hence Javanese dance movement is controlled, deliberate, refined; Balinese, dynamic, angular, intensely expressive. There is a greater richness of dance forms and styles in Bali; and particularly notable are those ritualistic dance dramas which involve </w:t>
      </w:r>
      <w:proofErr w:type="spellStart"/>
      <w:r w:rsidRPr="00447D31">
        <w:rPr>
          <w:sz w:val="19"/>
          <w:szCs w:val="19"/>
        </w:rPr>
        <w:t>Rangda</w:t>
      </w:r>
      <w:proofErr w:type="spellEnd"/>
      <w:r w:rsidRPr="00447D31">
        <w:rPr>
          <w:sz w:val="19"/>
          <w:szCs w:val="19"/>
        </w:rPr>
        <w:t xml:space="preserve">, the witch and the great beast Barong. These are of major import in Bali but do not exist in Java. </w:t>
      </w:r>
      <w:proofErr w:type="spellStart"/>
      <w:r w:rsidRPr="00447D31">
        <w:rPr>
          <w:sz w:val="19"/>
          <w:szCs w:val="19"/>
        </w:rPr>
        <w:t>Rangda</w:t>
      </w:r>
      <w:proofErr w:type="spellEnd"/>
      <w:r w:rsidRPr="00447D31">
        <w:rPr>
          <w:sz w:val="19"/>
          <w:szCs w:val="19"/>
        </w:rPr>
        <w:t xml:space="preserve"> is the queen of witches (</w:t>
      </w:r>
      <w:proofErr w:type="spellStart"/>
      <w:r w:rsidRPr="00447D31">
        <w:rPr>
          <w:i/>
          <w:sz w:val="19"/>
          <w:szCs w:val="19"/>
        </w:rPr>
        <w:t>leyak</w:t>
      </w:r>
      <w:proofErr w:type="spellEnd"/>
      <w:r w:rsidRPr="00447D31">
        <w:rPr>
          <w:sz w:val="19"/>
          <w:szCs w:val="19"/>
        </w:rPr>
        <w:t>), the personification of virulent</w:t>
      </w:r>
      <w:r w:rsidR="005D3FCD" w:rsidRPr="00447D31">
        <w:rPr>
          <w:rStyle w:val="FootnoteReference"/>
          <w:sz w:val="19"/>
          <w:szCs w:val="19"/>
        </w:rPr>
        <w:footnoteReference w:id="7"/>
      </w:r>
      <w:r w:rsidRPr="00447D31">
        <w:rPr>
          <w:sz w:val="19"/>
          <w:szCs w:val="19"/>
        </w:rPr>
        <w:t xml:space="preserve"> evil, continually scheming to harm mankind. Barong is also a leader of demons, but of the kala, who are a mischievous and uncouth lot, but susceptible of propitiation. Thus Barong, having power over </w:t>
      </w:r>
      <w:proofErr w:type="spellStart"/>
      <w:r w:rsidRPr="00447D31">
        <w:rPr>
          <w:sz w:val="19"/>
          <w:szCs w:val="19"/>
        </w:rPr>
        <w:t>Rangda</w:t>
      </w:r>
      <w:proofErr w:type="spellEnd"/>
      <w:r w:rsidRPr="00447D31">
        <w:rPr>
          <w:sz w:val="19"/>
          <w:szCs w:val="19"/>
        </w:rPr>
        <w:t xml:space="preserve">, is seen as a representative of "good" forces countering </w:t>
      </w:r>
      <w:proofErr w:type="spellStart"/>
      <w:r w:rsidRPr="00447D31">
        <w:rPr>
          <w:sz w:val="19"/>
          <w:szCs w:val="19"/>
        </w:rPr>
        <w:t>Rangda's</w:t>
      </w:r>
      <w:proofErr w:type="spellEnd"/>
      <w:r w:rsidRPr="00447D31">
        <w:rPr>
          <w:sz w:val="19"/>
          <w:szCs w:val="19"/>
        </w:rPr>
        <w:t xml:space="preserve"> "evil," and their ritual confrontation is a symbolic reenactment of the precarious balance of good and evil forces in this world. The continual ritual-dramatic defeat of </w:t>
      </w:r>
      <w:proofErr w:type="spellStart"/>
      <w:r w:rsidRPr="00447D31">
        <w:rPr>
          <w:sz w:val="19"/>
          <w:szCs w:val="19"/>
        </w:rPr>
        <w:t>Rangda</w:t>
      </w:r>
      <w:proofErr w:type="spellEnd"/>
      <w:r w:rsidRPr="00447D31">
        <w:rPr>
          <w:sz w:val="19"/>
          <w:szCs w:val="19"/>
        </w:rPr>
        <w:t xml:space="preserve"> is perhaps meant as sympathetic magic. In any event, it reinforces in the community conscience the sense of real need for the multitude of propitiatory rituals which characterize Balinese religious practice.</w:t>
      </w:r>
    </w:p>
    <w:p w:rsidR="00C918F8" w:rsidRPr="00447D31" w:rsidRDefault="00447D31" w:rsidP="00C918F8">
      <w:pPr>
        <w:rPr>
          <w:sz w:val="19"/>
          <w:szCs w:val="19"/>
        </w:rPr>
      </w:pPr>
      <w:r w:rsidRPr="00447D31">
        <w:rPr>
          <w:noProof/>
          <w:sz w:val="19"/>
          <w:szCs w:val="19"/>
        </w:rPr>
        <w:drawing>
          <wp:anchor distT="0" distB="0" distL="114300" distR="114300" simplePos="0" relativeHeight="251658240" behindDoc="0" locked="0" layoutInCell="1" allowOverlap="1" wp14:anchorId="1D5EE7B0" wp14:editId="5CEAFAD1">
            <wp:simplePos x="0" y="0"/>
            <wp:positionH relativeFrom="column">
              <wp:posOffset>-9525</wp:posOffset>
            </wp:positionH>
            <wp:positionV relativeFrom="paragraph">
              <wp:posOffset>-1210945</wp:posOffset>
            </wp:positionV>
            <wp:extent cx="2884805" cy="2286000"/>
            <wp:effectExtent l="0" t="0" r="0" b="0"/>
            <wp:wrapSquare wrapText="bothSides"/>
            <wp:docPr id="1" name="Picture 1" descr="http://www.marlamallett.com/Balinese%20Puppets%20-%20LordlySh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lamallett.com/Balinese%20Puppets%20-%20LordlyShades.jpg"/>
                    <pic:cNvPicPr>
                      <a:picLocks noChangeAspect="1" noChangeArrowheads="1"/>
                    </pic:cNvPicPr>
                  </pic:nvPicPr>
                  <pic:blipFill>
                    <a:blip r:embed="rId12">
                      <a:grayscl/>
                      <a:extLst>
                        <a:ext uri="{BEBA8EAE-BF5A-486C-A8C5-ECC9F3942E4B}">
                          <a14:imgProps xmlns:a14="http://schemas.microsoft.com/office/drawing/2010/main">
                            <a14:imgLayer r:embed="rId13">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480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F8" w:rsidRPr="00447D31" w:rsidRDefault="00C918F8" w:rsidP="00C918F8">
      <w:pPr>
        <w:rPr>
          <w:sz w:val="19"/>
          <w:szCs w:val="19"/>
        </w:rPr>
      </w:pPr>
      <w:r w:rsidRPr="00447D31">
        <w:rPr>
          <w:sz w:val="19"/>
          <w:szCs w:val="19"/>
        </w:rPr>
        <w:t xml:space="preserve">The masks used masked play genres in Java and Bali are compared by Wagner as follows: "Javanese art often displays </w:t>
      </w:r>
      <w:proofErr w:type="gramStart"/>
      <w:r w:rsidRPr="00447D31">
        <w:rPr>
          <w:sz w:val="19"/>
          <w:szCs w:val="19"/>
        </w:rPr>
        <w:t>a finesse</w:t>
      </w:r>
      <w:proofErr w:type="gramEnd"/>
      <w:r w:rsidR="005D3FCD" w:rsidRPr="00447D31">
        <w:rPr>
          <w:rStyle w:val="FootnoteReference"/>
          <w:sz w:val="19"/>
          <w:szCs w:val="19"/>
        </w:rPr>
        <w:footnoteReference w:id="8"/>
      </w:r>
      <w:r w:rsidRPr="00447D31">
        <w:rPr>
          <w:sz w:val="19"/>
          <w:szCs w:val="19"/>
        </w:rPr>
        <w:t>, and at the same time a serene composure which . . . is elevated far above everything mundane. But the Balinese artist draws directly upon his own experience; his masks often represent changing human moods." (1959:204)</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t>In Bali the social order is largely communal, stressing traditional law (</w:t>
      </w:r>
      <w:proofErr w:type="spellStart"/>
      <w:r w:rsidRPr="00447D31">
        <w:rPr>
          <w:i/>
          <w:sz w:val="19"/>
          <w:szCs w:val="19"/>
        </w:rPr>
        <w:t>adat</w:t>
      </w:r>
      <w:proofErr w:type="spellEnd"/>
      <w:r w:rsidRPr="00447D31">
        <w:rPr>
          <w:sz w:val="19"/>
          <w:szCs w:val="19"/>
        </w:rPr>
        <w:t xml:space="preserve">) supervised by the entire adult male population of a community, a committee of the whole. This pattern encompasses other aspects of Balinese life, and there is thus a committee on rice paddies, a committee on ritual, etc. The social class structure superficially resembles that of traditional Hindu culture, with </w:t>
      </w:r>
      <w:proofErr w:type="spellStart"/>
      <w:r w:rsidRPr="00447D31">
        <w:rPr>
          <w:i/>
          <w:sz w:val="19"/>
          <w:szCs w:val="19"/>
        </w:rPr>
        <w:t>brahmanas</w:t>
      </w:r>
      <w:proofErr w:type="spellEnd"/>
      <w:r w:rsidRPr="00447D31">
        <w:rPr>
          <w:sz w:val="19"/>
          <w:szCs w:val="19"/>
        </w:rPr>
        <w:t xml:space="preserve">, </w:t>
      </w:r>
      <w:proofErr w:type="spellStart"/>
      <w:r w:rsidRPr="00447D31">
        <w:rPr>
          <w:i/>
          <w:sz w:val="19"/>
          <w:szCs w:val="19"/>
        </w:rPr>
        <w:t>ksatriyas</w:t>
      </w:r>
      <w:proofErr w:type="spellEnd"/>
      <w:r w:rsidRPr="00447D31">
        <w:rPr>
          <w:sz w:val="19"/>
          <w:szCs w:val="19"/>
        </w:rPr>
        <w:t xml:space="preserve">, </w:t>
      </w:r>
      <w:proofErr w:type="spellStart"/>
      <w:r w:rsidRPr="00447D31">
        <w:rPr>
          <w:i/>
          <w:sz w:val="19"/>
          <w:szCs w:val="19"/>
        </w:rPr>
        <w:t>vaisyas</w:t>
      </w:r>
      <w:proofErr w:type="spellEnd"/>
      <w:r w:rsidRPr="00447D31">
        <w:rPr>
          <w:sz w:val="19"/>
          <w:szCs w:val="19"/>
        </w:rPr>
        <w:t xml:space="preserve">, and </w:t>
      </w:r>
      <w:proofErr w:type="spellStart"/>
      <w:r w:rsidRPr="00447D31">
        <w:rPr>
          <w:i/>
          <w:sz w:val="19"/>
          <w:szCs w:val="19"/>
        </w:rPr>
        <w:t>sudras</w:t>
      </w:r>
      <w:proofErr w:type="spellEnd"/>
      <w:r w:rsidRPr="00447D31">
        <w:rPr>
          <w:sz w:val="19"/>
          <w:szCs w:val="19"/>
        </w:rPr>
        <w:t xml:space="preserve">. However, the </w:t>
      </w:r>
      <w:proofErr w:type="spellStart"/>
      <w:r w:rsidRPr="00447D31">
        <w:rPr>
          <w:i/>
          <w:sz w:val="19"/>
          <w:szCs w:val="19"/>
        </w:rPr>
        <w:t>sudras</w:t>
      </w:r>
      <w:proofErr w:type="spellEnd"/>
      <w:r w:rsidRPr="00447D31">
        <w:rPr>
          <w:sz w:val="19"/>
          <w:szCs w:val="19"/>
        </w:rPr>
        <w:t>, or common people (about 95 per cent of the population), control their own affairs at the village level with little or no attempt at control by the hereditary nobility (</w:t>
      </w:r>
      <w:proofErr w:type="spellStart"/>
      <w:r w:rsidRPr="00447D31">
        <w:rPr>
          <w:i/>
          <w:sz w:val="19"/>
          <w:szCs w:val="19"/>
        </w:rPr>
        <w:t>ksatriya</w:t>
      </w:r>
      <w:proofErr w:type="spellEnd"/>
      <w:r w:rsidRPr="00447D31">
        <w:rPr>
          <w:sz w:val="19"/>
          <w:szCs w:val="19"/>
        </w:rPr>
        <w:t xml:space="preserve">, </w:t>
      </w:r>
      <w:proofErr w:type="spellStart"/>
      <w:proofErr w:type="gramStart"/>
      <w:r w:rsidRPr="00447D31">
        <w:rPr>
          <w:i/>
          <w:sz w:val="19"/>
          <w:szCs w:val="19"/>
        </w:rPr>
        <w:t>vaisya</w:t>
      </w:r>
      <w:proofErr w:type="spellEnd"/>
      <w:proofErr w:type="gramEnd"/>
      <w:r w:rsidRPr="00447D31">
        <w:rPr>
          <w:sz w:val="19"/>
          <w:szCs w:val="19"/>
        </w:rPr>
        <w:t>). Balinese religion is an integration of Hindu-Buddhist and shamanist</w:t>
      </w:r>
      <w:r w:rsidR="00E47CBD" w:rsidRPr="00447D31">
        <w:rPr>
          <w:rStyle w:val="FootnoteReference"/>
          <w:sz w:val="19"/>
          <w:szCs w:val="19"/>
        </w:rPr>
        <w:footnoteReference w:id="9"/>
      </w:r>
      <w:r w:rsidRPr="00447D31">
        <w:rPr>
          <w:sz w:val="19"/>
          <w:szCs w:val="19"/>
        </w:rPr>
        <w:t xml:space="preserve"> beliefs, characterized by a regular </w:t>
      </w:r>
      <w:r w:rsidR="00D522B0" w:rsidRPr="00447D31">
        <w:rPr>
          <w:sz w:val="19"/>
          <w:szCs w:val="19"/>
        </w:rPr>
        <w:t>cycle</w:t>
      </w:r>
      <w:r w:rsidRPr="00447D31">
        <w:rPr>
          <w:sz w:val="19"/>
          <w:szCs w:val="19"/>
        </w:rPr>
        <w:t xml:space="preserve"> of temple festivals featuring elaborate food-offerings and other ceremonies as needed for rites of passage, healing, or crisis situations. Music and dance play a major role in Balinese religion, as </w:t>
      </w:r>
      <w:proofErr w:type="gramStart"/>
      <w:r w:rsidRPr="00447D31">
        <w:rPr>
          <w:sz w:val="19"/>
          <w:szCs w:val="19"/>
        </w:rPr>
        <w:t>does</w:t>
      </w:r>
      <w:proofErr w:type="gramEnd"/>
      <w:r w:rsidRPr="00447D31">
        <w:rPr>
          <w:sz w:val="19"/>
          <w:szCs w:val="19"/>
        </w:rPr>
        <w:t xml:space="preserve"> trance. (See following discussion on trance.) Most temple business is conducted by a </w:t>
      </w:r>
      <w:proofErr w:type="spellStart"/>
      <w:proofErr w:type="gramStart"/>
      <w:r w:rsidRPr="00447D31">
        <w:rPr>
          <w:i/>
          <w:sz w:val="19"/>
          <w:szCs w:val="19"/>
        </w:rPr>
        <w:t>sudra</w:t>
      </w:r>
      <w:proofErr w:type="spellEnd"/>
      <w:proofErr w:type="gramEnd"/>
      <w:r w:rsidRPr="00447D31">
        <w:rPr>
          <w:sz w:val="19"/>
          <w:szCs w:val="19"/>
        </w:rPr>
        <w:t xml:space="preserve"> lay-priest who doubles as temple janitor, while the learned </w:t>
      </w:r>
      <w:proofErr w:type="spellStart"/>
      <w:r w:rsidRPr="00447D31">
        <w:rPr>
          <w:i/>
          <w:sz w:val="19"/>
          <w:szCs w:val="19"/>
        </w:rPr>
        <w:t>brahmana</w:t>
      </w:r>
      <w:proofErr w:type="spellEnd"/>
      <w:r w:rsidRPr="00447D31">
        <w:rPr>
          <w:sz w:val="19"/>
          <w:szCs w:val="19"/>
        </w:rPr>
        <w:t xml:space="preserve"> priests are called upon only for occasional rites of major import, or nobility-sponsored ceremonies (e.g. consecrating a new house). Many of the finest </w:t>
      </w:r>
      <w:proofErr w:type="spellStart"/>
      <w:r w:rsidRPr="00447D31">
        <w:rPr>
          <w:i/>
          <w:sz w:val="19"/>
          <w:szCs w:val="19"/>
        </w:rPr>
        <w:t>dalangs</w:t>
      </w:r>
      <w:proofErr w:type="spellEnd"/>
      <w:r w:rsidRPr="00447D31">
        <w:rPr>
          <w:sz w:val="19"/>
          <w:szCs w:val="19"/>
        </w:rPr>
        <w:t xml:space="preserve"> are priests, but there is no prohibition against </w:t>
      </w:r>
      <w:proofErr w:type="spellStart"/>
      <w:r w:rsidRPr="00447D31">
        <w:rPr>
          <w:i/>
          <w:sz w:val="19"/>
          <w:szCs w:val="19"/>
        </w:rPr>
        <w:t>dalangs</w:t>
      </w:r>
      <w:proofErr w:type="spellEnd"/>
      <w:r w:rsidRPr="00447D31">
        <w:rPr>
          <w:sz w:val="19"/>
          <w:szCs w:val="19"/>
        </w:rPr>
        <w:t xml:space="preserve"> of other profession or caste. Persons of high caste receive the respect and courtesy of accepted social usage. These courtesies are dropped in the context of artistic activity (music or dance-drama), and in general the high castes would seem to have few prerogatives</w:t>
      </w:r>
      <w:r w:rsidR="00E47CBD" w:rsidRPr="00447D31">
        <w:rPr>
          <w:rStyle w:val="FootnoteReference"/>
          <w:sz w:val="19"/>
          <w:szCs w:val="19"/>
        </w:rPr>
        <w:footnoteReference w:id="10"/>
      </w:r>
      <w:r w:rsidRPr="00447D31">
        <w:rPr>
          <w:sz w:val="19"/>
          <w:szCs w:val="19"/>
        </w:rPr>
        <w:t xml:space="preserve"> in Bali's peasant-dominated society.</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t>Javanese society is tripartite</w:t>
      </w:r>
      <w:r w:rsidR="00E47CBD" w:rsidRPr="00447D31">
        <w:rPr>
          <w:rStyle w:val="FootnoteReference"/>
          <w:sz w:val="19"/>
          <w:szCs w:val="19"/>
        </w:rPr>
        <w:footnoteReference w:id="11"/>
      </w:r>
      <w:r w:rsidRPr="00447D31">
        <w:rPr>
          <w:sz w:val="19"/>
          <w:szCs w:val="19"/>
        </w:rPr>
        <w:t xml:space="preserve">, divided by the Javanese themselves into </w:t>
      </w:r>
      <w:proofErr w:type="spellStart"/>
      <w:r w:rsidRPr="00447D31">
        <w:rPr>
          <w:i/>
          <w:sz w:val="19"/>
          <w:szCs w:val="19"/>
        </w:rPr>
        <w:t>abangan</w:t>
      </w:r>
      <w:proofErr w:type="spellEnd"/>
      <w:r w:rsidRPr="00447D31">
        <w:rPr>
          <w:sz w:val="19"/>
          <w:szCs w:val="19"/>
        </w:rPr>
        <w:t xml:space="preserve"> (peasantry), </w:t>
      </w:r>
      <w:proofErr w:type="spellStart"/>
      <w:r w:rsidRPr="00447D31">
        <w:rPr>
          <w:i/>
          <w:sz w:val="19"/>
          <w:szCs w:val="19"/>
        </w:rPr>
        <w:t>santri</w:t>
      </w:r>
      <w:proofErr w:type="spellEnd"/>
      <w:r w:rsidRPr="00447D31">
        <w:rPr>
          <w:sz w:val="19"/>
          <w:szCs w:val="19"/>
        </w:rPr>
        <w:t xml:space="preserve"> (</w:t>
      </w:r>
      <w:r w:rsidR="00D522B0" w:rsidRPr="00447D31">
        <w:rPr>
          <w:sz w:val="19"/>
          <w:szCs w:val="19"/>
        </w:rPr>
        <w:t>Islamic</w:t>
      </w:r>
      <w:r w:rsidRPr="00447D31">
        <w:rPr>
          <w:sz w:val="19"/>
          <w:szCs w:val="19"/>
        </w:rPr>
        <w:t xml:space="preserve">, usually merchants), and </w:t>
      </w:r>
      <w:proofErr w:type="spellStart"/>
      <w:r w:rsidRPr="00447D31">
        <w:rPr>
          <w:i/>
          <w:sz w:val="19"/>
          <w:szCs w:val="19"/>
        </w:rPr>
        <w:t>prijaji</w:t>
      </w:r>
      <w:proofErr w:type="spellEnd"/>
      <w:r w:rsidR="00EC32C2">
        <w:rPr>
          <w:sz w:val="19"/>
          <w:szCs w:val="19"/>
        </w:rPr>
        <w:t xml:space="preserve"> (</w:t>
      </w:r>
      <w:r w:rsidRPr="00447D31">
        <w:rPr>
          <w:sz w:val="19"/>
          <w:szCs w:val="19"/>
        </w:rPr>
        <w:t xml:space="preserve">nobility and cultural elite). </w:t>
      </w:r>
      <w:proofErr w:type="spellStart"/>
      <w:r w:rsidRPr="00447D31">
        <w:rPr>
          <w:i/>
          <w:sz w:val="19"/>
          <w:szCs w:val="19"/>
        </w:rPr>
        <w:t>Abangan</w:t>
      </w:r>
      <w:proofErr w:type="spellEnd"/>
      <w:r w:rsidRPr="00447D31">
        <w:rPr>
          <w:sz w:val="19"/>
          <w:szCs w:val="19"/>
        </w:rPr>
        <w:t xml:space="preserve"> religion is similar to Balinese religion, though not nearly so elaborate, stressing community and built around the communal offering of propitiation</w:t>
      </w:r>
      <w:r w:rsidR="00E47CBD" w:rsidRPr="00447D31">
        <w:rPr>
          <w:rStyle w:val="FootnoteReference"/>
          <w:sz w:val="19"/>
          <w:szCs w:val="19"/>
        </w:rPr>
        <w:footnoteReference w:id="12"/>
      </w:r>
      <w:r w:rsidRPr="00447D31">
        <w:rPr>
          <w:sz w:val="19"/>
          <w:szCs w:val="19"/>
        </w:rPr>
        <w:t xml:space="preserve">, the </w:t>
      </w:r>
      <w:proofErr w:type="spellStart"/>
      <w:r w:rsidRPr="00447D31">
        <w:rPr>
          <w:i/>
          <w:sz w:val="19"/>
          <w:szCs w:val="19"/>
        </w:rPr>
        <w:t>slametan</w:t>
      </w:r>
      <w:proofErr w:type="spellEnd"/>
      <w:r w:rsidRPr="00447D31">
        <w:rPr>
          <w:sz w:val="19"/>
          <w:szCs w:val="19"/>
        </w:rPr>
        <w:t xml:space="preserve"> feast. </w:t>
      </w:r>
      <w:proofErr w:type="gramStart"/>
      <w:r w:rsidRPr="00447D31">
        <w:rPr>
          <w:sz w:val="19"/>
          <w:szCs w:val="19"/>
        </w:rPr>
        <w:t>As in Balinese temple festivals.</w:t>
      </w:r>
      <w:proofErr w:type="gramEnd"/>
      <w:r w:rsidRPr="00447D31">
        <w:rPr>
          <w:sz w:val="19"/>
          <w:szCs w:val="19"/>
        </w:rPr>
        <w:t xml:space="preserve"> </w:t>
      </w:r>
      <w:proofErr w:type="gramStart"/>
      <w:r w:rsidRPr="00447D31">
        <w:rPr>
          <w:sz w:val="19"/>
          <w:szCs w:val="19"/>
        </w:rPr>
        <w:t>the</w:t>
      </w:r>
      <w:proofErr w:type="gramEnd"/>
      <w:r w:rsidRPr="00447D31">
        <w:rPr>
          <w:sz w:val="19"/>
          <w:szCs w:val="19"/>
        </w:rPr>
        <w:t xml:space="preserve"> </w:t>
      </w:r>
      <w:proofErr w:type="spellStart"/>
      <w:r w:rsidRPr="00447D31">
        <w:rPr>
          <w:i/>
          <w:sz w:val="19"/>
          <w:szCs w:val="19"/>
        </w:rPr>
        <w:t>slametan</w:t>
      </w:r>
      <w:proofErr w:type="spellEnd"/>
      <w:r w:rsidRPr="00447D31">
        <w:rPr>
          <w:sz w:val="19"/>
          <w:szCs w:val="19"/>
        </w:rPr>
        <w:t xml:space="preserve"> consists of the presentation (to the spirits) of specially-prepared ritual foods. Because the communal feeling does not spontaneously exist to any great extent in Java, </w:t>
      </w:r>
      <w:proofErr w:type="spellStart"/>
      <w:r w:rsidRPr="00447D31">
        <w:rPr>
          <w:sz w:val="19"/>
          <w:szCs w:val="19"/>
        </w:rPr>
        <w:t>slametan</w:t>
      </w:r>
      <w:proofErr w:type="spellEnd"/>
      <w:r w:rsidRPr="00447D31">
        <w:rPr>
          <w:sz w:val="19"/>
          <w:szCs w:val="19"/>
        </w:rPr>
        <w:t xml:space="preserve"> is typically given by private individuals rather than by villages or communities. The </w:t>
      </w:r>
      <w:proofErr w:type="spellStart"/>
      <w:r w:rsidRPr="00447D31">
        <w:rPr>
          <w:i/>
          <w:sz w:val="19"/>
          <w:szCs w:val="19"/>
        </w:rPr>
        <w:t>abangan</w:t>
      </w:r>
      <w:proofErr w:type="spellEnd"/>
      <w:r w:rsidRPr="00447D31">
        <w:rPr>
          <w:sz w:val="19"/>
          <w:szCs w:val="19"/>
        </w:rPr>
        <w:t xml:space="preserve"> who gives a </w:t>
      </w:r>
      <w:proofErr w:type="spellStart"/>
      <w:r w:rsidRPr="00447D31">
        <w:rPr>
          <w:i/>
          <w:sz w:val="19"/>
          <w:szCs w:val="19"/>
        </w:rPr>
        <w:t>slametan</w:t>
      </w:r>
      <w:proofErr w:type="spellEnd"/>
      <w:r w:rsidRPr="00447D31">
        <w:rPr>
          <w:sz w:val="19"/>
          <w:szCs w:val="19"/>
        </w:rPr>
        <w:t>, therefore, will create an artificial community-by-proximity, inviting his immediate neighbors to the ritual feast, regardless of his normal social relationships with them: they are witnesses, not co-celebrants.</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lastRenderedPageBreak/>
        <w:t xml:space="preserve">The </w:t>
      </w:r>
      <w:proofErr w:type="spellStart"/>
      <w:r w:rsidRPr="00447D31">
        <w:rPr>
          <w:i/>
          <w:sz w:val="19"/>
          <w:szCs w:val="19"/>
        </w:rPr>
        <w:t>santri</w:t>
      </w:r>
      <w:proofErr w:type="spellEnd"/>
      <w:r w:rsidRPr="00447D31">
        <w:rPr>
          <w:sz w:val="19"/>
          <w:szCs w:val="19"/>
        </w:rPr>
        <w:t xml:space="preserve"> stresses the unity of the </w:t>
      </w:r>
      <w:r w:rsidR="00D522B0" w:rsidRPr="00447D31">
        <w:rPr>
          <w:sz w:val="19"/>
          <w:szCs w:val="19"/>
        </w:rPr>
        <w:t>Islamic</w:t>
      </w:r>
      <w:r w:rsidRPr="00447D31">
        <w:rPr>
          <w:sz w:val="19"/>
          <w:szCs w:val="19"/>
        </w:rPr>
        <w:t xml:space="preserve"> community, and all attendant ritual trappings of </w:t>
      </w:r>
      <w:r w:rsidR="00D522B0" w:rsidRPr="00447D31">
        <w:rPr>
          <w:sz w:val="19"/>
          <w:szCs w:val="19"/>
        </w:rPr>
        <w:t>Islamic</w:t>
      </w:r>
      <w:r w:rsidRPr="00447D31">
        <w:rPr>
          <w:sz w:val="19"/>
          <w:szCs w:val="19"/>
        </w:rPr>
        <w:t xml:space="preserve"> law. The </w:t>
      </w:r>
      <w:proofErr w:type="spellStart"/>
      <w:r w:rsidRPr="00447D31">
        <w:rPr>
          <w:i/>
          <w:sz w:val="19"/>
          <w:szCs w:val="19"/>
        </w:rPr>
        <w:t>santri</w:t>
      </w:r>
      <w:proofErr w:type="spellEnd"/>
      <w:r w:rsidRPr="00447D31">
        <w:rPr>
          <w:sz w:val="19"/>
          <w:szCs w:val="19"/>
        </w:rPr>
        <w:t xml:space="preserve"> is not wholly isolated from the Hindu-Javanese tradition, however, as he acknowledges the (limited) import of the </w:t>
      </w:r>
      <w:proofErr w:type="spellStart"/>
      <w:r w:rsidRPr="00447D31">
        <w:rPr>
          <w:i/>
          <w:sz w:val="19"/>
          <w:szCs w:val="19"/>
        </w:rPr>
        <w:t>wayang</w:t>
      </w:r>
      <w:proofErr w:type="spellEnd"/>
      <w:r w:rsidRPr="00447D31">
        <w:rPr>
          <w:sz w:val="19"/>
          <w:szCs w:val="19"/>
        </w:rPr>
        <w:t xml:space="preserve">, and admits the ancient </w:t>
      </w:r>
      <w:r w:rsidRPr="00EC32C2">
        <w:rPr>
          <w:i/>
          <w:sz w:val="19"/>
          <w:szCs w:val="19"/>
        </w:rPr>
        <w:t>gamelan</w:t>
      </w:r>
      <w:r w:rsidRPr="00447D31">
        <w:rPr>
          <w:sz w:val="19"/>
          <w:szCs w:val="19"/>
        </w:rPr>
        <w:t xml:space="preserve"> </w:t>
      </w:r>
      <w:proofErr w:type="spellStart"/>
      <w:r w:rsidRPr="00447D31">
        <w:rPr>
          <w:i/>
          <w:sz w:val="19"/>
          <w:szCs w:val="19"/>
        </w:rPr>
        <w:t>sekati</w:t>
      </w:r>
      <w:proofErr w:type="spellEnd"/>
      <w:r w:rsidRPr="00447D31">
        <w:rPr>
          <w:sz w:val="19"/>
          <w:szCs w:val="19"/>
        </w:rPr>
        <w:t xml:space="preserve"> to the celebration of the holy week.</w:t>
      </w:r>
    </w:p>
    <w:p w:rsidR="00C918F8" w:rsidRPr="00447D31" w:rsidRDefault="00C918F8" w:rsidP="00D522B0">
      <w:pPr>
        <w:jc w:val="right"/>
        <w:rPr>
          <w:sz w:val="19"/>
          <w:szCs w:val="19"/>
        </w:rPr>
      </w:pPr>
    </w:p>
    <w:p w:rsidR="00C918F8" w:rsidRPr="00447D31" w:rsidRDefault="00447D31" w:rsidP="00C918F8">
      <w:pPr>
        <w:rPr>
          <w:sz w:val="19"/>
          <w:szCs w:val="19"/>
        </w:rPr>
      </w:pPr>
      <w:r w:rsidRPr="00447D31">
        <w:rPr>
          <w:noProof/>
          <w:sz w:val="19"/>
          <w:szCs w:val="19"/>
        </w:rPr>
        <w:drawing>
          <wp:anchor distT="0" distB="0" distL="114300" distR="114300" simplePos="0" relativeHeight="251659264" behindDoc="0" locked="0" layoutInCell="1" allowOverlap="1" wp14:anchorId="23997F78" wp14:editId="52BBDF7B">
            <wp:simplePos x="0" y="0"/>
            <wp:positionH relativeFrom="column">
              <wp:posOffset>4741545</wp:posOffset>
            </wp:positionH>
            <wp:positionV relativeFrom="paragraph">
              <wp:posOffset>150495</wp:posOffset>
            </wp:positionV>
            <wp:extent cx="1743075" cy="1777365"/>
            <wp:effectExtent l="0" t="0" r="9525" b="0"/>
            <wp:wrapSquare wrapText="bothSides"/>
            <wp:docPr id="2" name="Picture 2" descr="http://upload.wikimedia.org/wikipedia/commons/e/e6/COLLECTIE_TROPENMUSEUM_Een_zoon_van_de_Sultan_HB_VI_van_Jogjakarta_TMnr_600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e/e6/COLLECTIE_TROPENMUSEUM_Een_zoon_van_de_Sultan_HB_VI_van_Jogjakarta_TMnr_60002139.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9292" t="9886" r="15755" b="40447"/>
                    <a:stretch/>
                  </pic:blipFill>
                  <pic:spPr bwMode="auto">
                    <a:xfrm>
                      <a:off x="0" y="0"/>
                      <a:ext cx="1743075" cy="1777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8F8" w:rsidRPr="00447D31">
        <w:rPr>
          <w:sz w:val="19"/>
          <w:szCs w:val="19"/>
        </w:rPr>
        <w:t xml:space="preserve">The </w:t>
      </w:r>
      <w:proofErr w:type="spellStart"/>
      <w:r w:rsidR="00C918F8" w:rsidRPr="00447D31">
        <w:rPr>
          <w:i/>
          <w:sz w:val="19"/>
          <w:szCs w:val="19"/>
        </w:rPr>
        <w:t>prijaji</w:t>
      </w:r>
      <w:proofErr w:type="spellEnd"/>
      <w:r w:rsidR="00C918F8" w:rsidRPr="00447D31">
        <w:rPr>
          <w:sz w:val="19"/>
          <w:szCs w:val="19"/>
        </w:rPr>
        <w:t xml:space="preserve"> element is the gentry of Java, today composed largely of white-collar workers and other educated professional people. </w:t>
      </w:r>
      <w:proofErr w:type="spellStart"/>
      <w:r w:rsidR="00C918F8" w:rsidRPr="00447D31">
        <w:rPr>
          <w:i/>
          <w:sz w:val="19"/>
          <w:szCs w:val="19"/>
        </w:rPr>
        <w:t>Prijaji</w:t>
      </w:r>
      <w:proofErr w:type="spellEnd"/>
      <w:r w:rsidR="00C918F8" w:rsidRPr="00447D31">
        <w:rPr>
          <w:sz w:val="19"/>
          <w:szCs w:val="19"/>
        </w:rPr>
        <w:t xml:space="preserve"> religion is an intellectualization of the basic elements of H</w:t>
      </w:r>
      <w:r w:rsidR="00D522B0" w:rsidRPr="00447D31">
        <w:rPr>
          <w:sz w:val="19"/>
          <w:szCs w:val="19"/>
        </w:rPr>
        <w:t>i</w:t>
      </w:r>
      <w:r w:rsidR="00C918F8" w:rsidRPr="00447D31">
        <w:rPr>
          <w:sz w:val="19"/>
          <w:szCs w:val="19"/>
        </w:rPr>
        <w:t xml:space="preserve">ndu-Javanese tradition, giving elaborate symbolic and mystic interpretations to </w:t>
      </w:r>
      <w:proofErr w:type="spellStart"/>
      <w:r w:rsidR="00C918F8" w:rsidRPr="00447D31">
        <w:rPr>
          <w:i/>
          <w:sz w:val="19"/>
          <w:szCs w:val="19"/>
        </w:rPr>
        <w:t>wayang</w:t>
      </w:r>
      <w:proofErr w:type="spellEnd"/>
      <w:r w:rsidR="00C918F8" w:rsidRPr="00447D31">
        <w:rPr>
          <w:sz w:val="19"/>
          <w:szCs w:val="19"/>
        </w:rPr>
        <w:t xml:space="preserve">, gamelan, etc. Certain elements of </w:t>
      </w:r>
      <w:r w:rsidR="00D522B0" w:rsidRPr="00447D31">
        <w:rPr>
          <w:sz w:val="19"/>
          <w:szCs w:val="19"/>
        </w:rPr>
        <w:t>Islamic</w:t>
      </w:r>
      <w:r w:rsidR="00C918F8" w:rsidRPr="00447D31">
        <w:rPr>
          <w:sz w:val="19"/>
          <w:szCs w:val="19"/>
        </w:rPr>
        <w:t xml:space="preserve"> practice are also congenial to </w:t>
      </w:r>
      <w:proofErr w:type="spellStart"/>
      <w:r w:rsidR="00C918F8" w:rsidRPr="00447D31">
        <w:rPr>
          <w:i/>
          <w:sz w:val="19"/>
          <w:szCs w:val="19"/>
        </w:rPr>
        <w:t>prijaji</w:t>
      </w:r>
      <w:proofErr w:type="spellEnd"/>
      <w:r w:rsidR="00C918F8" w:rsidRPr="00447D31">
        <w:rPr>
          <w:sz w:val="19"/>
          <w:szCs w:val="19"/>
        </w:rPr>
        <w:t xml:space="preserve"> mysticism, such as fasting, which fits in nicely with the </w:t>
      </w:r>
      <w:proofErr w:type="spellStart"/>
      <w:r w:rsidR="00C918F8" w:rsidRPr="00447D31">
        <w:rPr>
          <w:i/>
          <w:sz w:val="19"/>
          <w:szCs w:val="19"/>
        </w:rPr>
        <w:t>prijaji</w:t>
      </w:r>
      <w:proofErr w:type="spellEnd"/>
      <w:r w:rsidR="00C918F8" w:rsidRPr="00447D31">
        <w:rPr>
          <w:sz w:val="19"/>
          <w:szCs w:val="19"/>
        </w:rPr>
        <w:t xml:space="preserve"> stress on meditation and abstinence as a means towards acquisition of personal spiritual power. The </w:t>
      </w:r>
      <w:proofErr w:type="spellStart"/>
      <w:r w:rsidR="00C918F8" w:rsidRPr="00447D31">
        <w:rPr>
          <w:i/>
          <w:sz w:val="19"/>
          <w:szCs w:val="19"/>
        </w:rPr>
        <w:t>prijaji</w:t>
      </w:r>
      <w:proofErr w:type="spellEnd"/>
      <w:r w:rsidR="00C918F8" w:rsidRPr="00447D31">
        <w:rPr>
          <w:sz w:val="19"/>
          <w:szCs w:val="19"/>
        </w:rPr>
        <w:t xml:space="preserve"> element remains the repository of Javanese culture, despite its confrontation with (and acceptance of) western values: "The current (1954) </w:t>
      </w:r>
      <w:proofErr w:type="spellStart"/>
      <w:r w:rsidR="00C918F8" w:rsidRPr="00447D31">
        <w:rPr>
          <w:i/>
          <w:sz w:val="19"/>
          <w:szCs w:val="19"/>
        </w:rPr>
        <w:t>prijaji</w:t>
      </w:r>
      <w:proofErr w:type="spellEnd"/>
      <w:r w:rsidR="00C918F8" w:rsidRPr="00447D31">
        <w:rPr>
          <w:sz w:val="19"/>
          <w:szCs w:val="19"/>
        </w:rPr>
        <w:t xml:space="preserve"> culture-hero is the Sultan of Djokjakarta, who, it is said, behaves ex</w:t>
      </w:r>
      <w:r w:rsidR="00D522B0" w:rsidRPr="00447D31">
        <w:rPr>
          <w:sz w:val="19"/>
          <w:szCs w:val="19"/>
        </w:rPr>
        <w:t>a</w:t>
      </w:r>
      <w:r w:rsidR="00C918F8" w:rsidRPr="00447D31">
        <w:rPr>
          <w:sz w:val="19"/>
          <w:szCs w:val="19"/>
        </w:rPr>
        <w:t>ctly like a conservative, mystic, traditional king within his palace and like a progressive, modern, Dutch-educated political leader outside of it." (Geertz 1960:237)</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t>A custom which may help to preserve the concept of class distinction (and which certainly serves to articulate it) in Java and Bali is that of varying levels of language. Courtesy demands that one speak with a language of refinement equal to that of the person one is addressing. Thus a servant will address his master in the elaborate high Javanese (or Balinese), and will be answered in the low tongue. Though this principle operates similarly in Java and Bali, it seems that there are more levels in Java, capable of expressing subtler distinctions of rank than possible in Bali. Also current is the lingua franca</w:t>
      </w:r>
      <w:r w:rsidR="00E47CBD" w:rsidRPr="00447D31">
        <w:rPr>
          <w:rStyle w:val="FootnoteReference"/>
          <w:sz w:val="19"/>
          <w:szCs w:val="19"/>
        </w:rPr>
        <w:footnoteReference w:id="13"/>
      </w:r>
      <w:r w:rsidRPr="00447D31">
        <w:rPr>
          <w:sz w:val="19"/>
          <w:szCs w:val="19"/>
        </w:rPr>
        <w:t xml:space="preserve"> Indonesian, which is increasingly more common in large urbanized areas. The classical languages, </w:t>
      </w:r>
      <w:proofErr w:type="spellStart"/>
      <w:proofErr w:type="gramStart"/>
      <w:r w:rsidRPr="00447D31">
        <w:rPr>
          <w:sz w:val="19"/>
          <w:szCs w:val="19"/>
        </w:rPr>
        <w:t>sanskrit</w:t>
      </w:r>
      <w:proofErr w:type="spellEnd"/>
      <w:proofErr w:type="gramEnd"/>
      <w:r w:rsidRPr="00447D31">
        <w:rPr>
          <w:sz w:val="19"/>
          <w:szCs w:val="19"/>
        </w:rPr>
        <w:t xml:space="preserve">, and </w:t>
      </w:r>
      <w:proofErr w:type="spellStart"/>
      <w:r w:rsidRPr="00447D31">
        <w:rPr>
          <w:i/>
          <w:sz w:val="19"/>
          <w:szCs w:val="19"/>
        </w:rPr>
        <w:t>kawi</w:t>
      </w:r>
      <w:proofErr w:type="spellEnd"/>
      <w:r w:rsidRPr="00447D31">
        <w:rPr>
          <w:sz w:val="19"/>
          <w:szCs w:val="19"/>
        </w:rPr>
        <w:t xml:space="preserve">, are mastered only by the elite </w:t>
      </w:r>
      <w:proofErr w:type="spellStart"/>
      <w:r w:rsidRPr="00447D31">
        <w:rPr>
          <w:i/>
          <w:sz w:val="19"/>
          <w:szCs w:val="19"/>
        </w:rPr>
        <w:t>prijaji</w:t>
      </w:r>
      <w:proofErr w:type="spellEnd"/>
      <w:r w:rsidRPr="00447D31">
        <w:rPr>
          <w:sz w:val="19"/>
          <w:szCs w:val="19"/>
        </w:rPr>
        <w:t xml:space="preserve"> in Java, who thus maintain a measure of control over the classical literature and other cultural elements. In Bali knowledge of </w:t>
      </w:r>
      <w:proofErr w:type="spellStart"/>
      <w:r w:rsidRPr="00447D31">
        <w:rPr>
          <w:i/>
          <w:sz w:val="19"/>
          <w:szCs w:val="19"/>
        </w:rPr>
        <w:t>kawi</w:t>
      </w:r>
      <w:proofErr w:type="spellEnd"/>
      <w:r w:rsidRPr="00447D31">
        <w:rPr>
          <w:sz w:val="19"/>
          <w:szCs w:val="19"/>
        </w:rPr>
        <w:t xml:space="preserve"> is also limited. When </w:t>
      </w:r>
      <w:proofErr w:type="spellStart"/>
      <w:r w:rsidRPr="00447D31">
        <w:rPr>
          <w:i/>
          <w:sz w:val="19"/>
          <w:szCs w:val="19"/>
        </w:rPr>
        <w:t>dranas</w:t>
      </w:r>
      <w:proofErr w:type="spellEnd"/>
      <w:r w:rsidRPr="00447D31">
        <w:rPr>
          <w:sz w:val="19"/>
          <w:szCs w:val="19"/>
        </w:rPr>
        <w:t xml:space="preserve"> are presented in </w:t>
      </w:r>
      <w:proofErr w:type="spellStart"/>
      <w:r w:rsidRPr="00447D31">
        <w:rPr>
          <w:i/>
          <w:sz w:val="19"/>
          <w:szCs w:val="19"/>
        </w:rPr>
        <w:t>kawi</w:t>
      </w:r>
      <w:proofErr w:type="spellEnd"/>
      <w:r w:rsidRPr="00447D31">
        <w:rPr>
          <w:sz w:val="19"/>
          <w:szCs w:val="19"/>
        </w:rPr>
        <w:t xml:space="preserve">, they must receive a running translation by comic characters (usually servants). A similar but more limited situation is found in the Japanese no drama, in which the story is explained during the "intermission" by a </w:t>
      </w:r>
      <w:proofErr w:type="spellStart"/>
      <w:r w:rsidRPr="00447D31">
        <w:rPr>
          <w:i/>
          <w:sz w:val="19"/>
          <w:szCs w:val="19"/>
        </w:rPr>
        <w:t>kyogen</w:t>
      </w:r>
      <w:proofErr w:type="spellEnd"/>
      <w:r w:rsidRPr="00447D31">
        <w:rPr>
          <w:sz w:val="19"/>
          <w:szCs w:val="19"/>
        </w:rPr>
        <w:t xml:space="preserve"> (comic servant). In Bali the comic characters often tend to monopo</w:t>
      </w:r>
      <w:r w:rsidR="00E47CBD" w:rsidRPr="00447D31">
        <w:rPr>
          <w:sz w:val="19"/>
          <w:szCs w:val="19"/>
        </w:rPr>
        <w:t>lize the</w:t>
      </w:r>
      <w:r w:rsidRPr="00447D31">
        <w:rPr>
          <w:sz w:val="19"/>
          <w:szCs w:val="19"/>
        </w:rPr>
        <w:t xml:space="preserve"> stage; in Java, though favorites, they are more clearly secondary. Another language in Java is Arabic, used--but not necessarily understood--by the </w:t>
      </w:r>
      <w:proofErr w:type="spellStart"/>
      <w:r w:rsidRPr="00447D31">
        <w:rPr>
          <w:i/>
          <w:sz w:val="19"/>
          <w:szCs w:val="19"/>
        </w:rPr>
        <w:t>santri</w:t>
      </w:r>
      <w:proofErr w:type="spellEnd"/>
      <w:r w:rsidRPr="00447D31">
        <w:rPr>
          <w:sz w:val="19"/>
          <w:szCs w:val="19"/>
        </w:rPr>
        <w:t xml:space="preserve"> in chanting the prayers of the </w:t>
      </w:r>
      <w:r w:rsidR="00E47CBD" w:rsidRPr="00447D31">
        <w:rPr>
          <w:sz w:val="19"/>
          <w:szCs w:val="19"/>
        </w:rPr>
        <w:t>Islamic</w:t>
      </w:r>
      <w:r w:rsidRPr="00447D31">
        <w:rPr>
          <w:sz w:val="19"/>
          <w:szCs w:val="19"/>
        </w:rPr>
        <w:t xml:space="preserve"> office.</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t xml:space="preserve">Trance in Bali is a common phenomenon and an essential part of religion. Trance is believed to indicate possession by a spirit, and the entranced medium speaks with the spirit's voice, giving instructions for proper offerings or ceremonies, helping to heal or find lost objects. Entranced dancers are basic elements of several temple festivals, and </w:t>
      </w:r>
      <w:proofErr w:type="spellStart"/>
      <w:r w:rsidRPr="00447D31">
        <w:rPr>
          <w:i/>
          <w:sz w:val="19"/>
          <w:szCs w:val="19"/>
        </w:rPr>
        <w:t>dalangs</w:t>
      </w:r>
      <w:proofErr w:type="spellEnd"/>
      <w:r w:rsidRPr="00447D31">
        <w:rPr>
          <w:sz w:val="19"/>
          <w:szCs w:val="19"/>
        </w:rPr>
        <w:t xml:space="preserve"> giving particularly efficacious</w:t>
      </w:r>
      <w:r w:rsidR="00E47CBD" w:rsidRPr="00447D31">
        <w:rPr>
          <w:rStyle w:val="FootnoteReference"/>
          <w:sz w:val="19"/>
          <w:szCs w:val="19"/>
        </w:rPr>
        <w:footnoteReference w:id="14"/>
      </w:r>
      <w:r w:rsidRPr="00447D31">
        <w:rPr>
          <w:sz w:val="19"/>
          <w:szCs w:val="19"/>
        </w:rPr>
        <w:t xml:space="preserve"> </w:t>
      </w:r>
      <w:proofErr w:type="spellStart"/>
      <w:r w:rsidRPr="00447D31">
        <w:rPr>
          <w:i/>
          <w:sz w:val="19"/>
          <w:szCs w:val="19"/>
        </w:rPr>
        <w:t>wayangs</w:t>
      </w:r>
      <w:proofErr w:type="spellEnd"/>
      <w:r w:rsidRPr="00447D31">
        <w:rPr>
          <w:sz w:val="19"/>
          <w:szCs w:val="19"/>
        </w:rPr>
        <w:t>, may become entranced in the normal course of events. Trance, then, is a culturally valuable trait in Bali, and is an important shamanistic virtue, allowing communication with the spirits.</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t xml:space="preserve">In Java, trance is the exception rather than the rule. In the </w:t>
      </w:r>
      <w:proofErr w:type="spellStart"/>
      <w:r w:rsidRPr="00447D31">
        <w:rPr>
          <w:i/>
          <w:sz w:val="19"/>
          <w:szCs w:val="19"/>
        </w:rPr>
        <w:t>djaranan</w:t>
      </w:r>
      <w:proofErr w:type="spellEnd"/>
      <w:r w:rsidRPr="00447D31">
        <w:rPr>
          <w:sz w:val="19"/>
          <w:szCs w:val="19"/>
        </w:rPr>
        <w:t>, for instance, itinerant</w:t>
      </w:r>
      <w:r w:rsidR="00453D11" w:rsidRPr="00447D31">
        <w:rPr>
          <w:rStyle w:val="FootnoteReference"/>
          <w:sz w:val="19"/>
          <w:szCs w:val="19"/>
        </w:rPr>
        <w:footnoteReference w:id="15"/>
      </w:r>
      <w:r w:rsidRPr="00447D31">
        <w:rPr>
          <w:sz w:val="19"/>
          <w:szCs w:val="19"/>
        </w:rPr>
        <w:t xml:space="preserve"> street-dancers become entranced while imitating a horse providing some entertainment value, but little or no cultural or religious significance. There is no Javanese counterpart to the Balinese entranced temple dancers such as the </w:t>
      </w:r>
      <w:proofErr w:type="spellStart"/>
      <w:r w:rsidRPr="00447D31">
        <w:rPr>
          <w:i/>
          <w:sz w:val="19"/>
          <w:szCs w:val="19"/>
        </w:rPr>
        <w:t>sanghyang</w:t>
      </w:r>
      <w:proofErr w:type="spellEnd"/>
      <w:r w:rsidRPr="00447D31">
        <w:rPr>
          <w:sz w:val="19"/>
          <w:szCs w:val="19"/>
        </w:rPr>
        <w:t xml:space="preserve">. The </w:t>
      </w:r>
      <w:proofErr w:type="spellStart"/>
      <w:r w:rsidRPr="00447D31">
        <w:rPr>
          <w:i/>
          <w:sz w:val="19"/>
          <w:szCs w:val="19"/>
        </w:rPr>
        <w:t>abangan</w:t>
      </w:r>
      <w:proofErr w:type="spellEnd"/>
      <w:r w:rsidRPr="00447D31">
        <w:rPr>
          <w:sz w:val="19"/>
          <w:szCs w:val="19"/>
        </w:rPr>
        <w:t xml:space="preserve"> folk-healer (</w:t>
      </w:r>
      <w:proofErr w:type="spellStart"/>
      <w:r w:rsidRPr="00447D31">
        <w:rPr>
          <w:i/>
          <w:sz w:val="19"/>
          <w:szCs w:val="19"/>
        </w:rPr>
        <w:t>dukun</w:t>
      </w:r>
      <w:proofErr w:type="spellEnd"/>
      <w:r w:rsidRPr="00447D31">
        <w:rPr>
          <w:sz w:val="19"/>
          <w:szCs w:val="19"/>
        </w:rPr>
        <w:t>) does not normally use trance, but rather has definite training in traditional healing practice. On rare occasions an untrained person may become possessed by a spirit (</w:t>
      </w:r>
      <w:proofErr w:type="spellStart"/>
      <w:r w:rsidRPr="00447D31">
        <w:rPr>
          <w:i/>
          <w:sz w:val="19"/>
          <w:szCs w:val="19"/>
        </w:rPr>
        <w:t>dukun</w:t>
      </w:r>
      <w:proofErr w:type="spellEnd"/>
      <w:r w:rsidRPr="00447D31">
        <w:rPr>
          <w:sz w:val="19"/>
          <w:szCs w:val="19"/>
        </w:rPr>
        <w:t xml:space="preserve"> </w:t>
      </w:r>
      <w:proofErr w:type="spellStart"/>
      <w:r w:rsidRPr="00447D31">
        <w:rPr>
          <w:i/>
          <w:sz w:val="19"/>
          <w:szCs w:val="19"/>
        </w:rPr>
        <w:t>tiban</w:t>
      </w:r>
      <w:proofErr w:type="spellEnd"/>
      <w:r w:rsidRPr="00447D31">
        <w:rPr>
          <w:sz w:val="19"/>
          <w:szCs w:val="19"/>
        </w:rPr>
        <w:t xml:space="preserve">) and may exhibit strong healing powers for a limited time, but will eventually lose these powers permanently. Even rarer is the possessed </w:t>
      </w:r>
      <w:proofErr w:type="spellStart"/>
      <w:r w:rsidRPr="00447D31">
        <w:rPr>
          <w:i/>
          <w:sz w:val="19"/>
          <w:szCs w:val="19"/>
        </w:rPr>
        <w:t>dalang</w:t>
      </w:r>
      <w:proofErr w:type="spellEnd"/>
      <w:r w:rsidRPr="00447D31">
        <w:rPr>
          <w:sz w:val="19"/>
          <w:szCs w:val="19"/>
        </w:rPr>
        <w:t xml:space="preserve"> (</w:t>
      </w:r>
      <w:proofErr w:type="spellStart"/>
      <w:r w:rsidRPr="00447D31">
        <w:rPr>
          <w:i/>
          <w:sz w:val="19"/>
          <w:szCs w:val="19"/>
        </w:rPr>
        <w:t>dalang</w:t>
      </w:r>
      <w:proofErr w:type="spellEnd"/>
      <w:r w:rsidRPr="00447D31">
        <w:rPr>
          <w:sz w:val="19"/>
          <w:szCs w:val="19"/>
        </w:rPr>
        <w:t xml:space="preserve"> </w:t>
      </w:r>
      <w:proofErr w:type="spellStart"/>
      <w:r w:rsidRPr="00447D31">
        <w:rPr>
          <w:i/>
          <w:sz w:val="19"/>
          <w:szCs w:val="19"/>
        </w:rPr>
        <w:t>tiban</w:t>
      </w:r>
      <w:proofErr w:type="spellEnd"/>
      <w:r w:rsidRPr="00447D31">
        <w:rPr>
          <w:sz w:val="19"/>
          <w:szCs w:val="19"/>
        </w:rPr>
        <w:t>). Thus in Java trance is not a culturally valuable trait, indicating a lack of stress on traditional shamanistic practice.</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t>In the foregoing</w:t>
      </w:r>
      <w:r w:rsidR="00453D11" w:rsidRPr="00447D31">
        <w:rPr>
          <w:rStyle w:val="FootnoteReference"/>
          <w:sz w:val="19"/>
          <w:szCs w:val="19"/>
        </w:rPr>
        <w:footnoteReference w:id="16"/>
      </w:r>
      <w:r w:rsidRPr="00447D31">
        <w:rPr>
          <w:sz w:val="19"/>
          <w:szCs w:val="19"/>
        </w:rPr>
        <w:t xml:space="preserve"> sections, several elements of Javanese and Balinese culture have been compared and contrasted, and a basic pattern of order or contrast may be seen. Balinese culture appears less sophisticated than Javanese, more folk-like, primitive, direct. Javanese culture, on the other hand, stresses refinement, subtlety, and indirection.</w:t>
      </w:r>
    </w:p>
    <w:p w:rsidR="00C918F8" w:rsidRPr="00447D31" w:rsidRDefault="00C918F8" w:rsidP="00C918F8">
      <w:pPr>
        <w:rPr>
          <w:sz w:val="19"/>
          <w:szCs w:val="19"/>
        </w:rPr>
      </w:pPr>
    </w:p>
    <w:p w:rsidR="00C918F8" w:rsidRPr="00447D31" w:rsidRDefault="00C918F8" w:rsidP="00C918F8">
      <w:pPr>
        <w:spacing w:after="240"/>
        <w:rPr>
          <w:b/>
          <w:sz w:val="19"/>
          <w:szCs w:val="19"/>
        </w:rPr>
      </w:pPr>
      <w:r w:rsidRPr="00447D31">
        <w:rPr>
          <w:b/>
          <w:sz w:val="19"/>
          <w:szCs w:val="19"/>
        </w:rPr>
        <w:t>Factors Leading to Patterns of Cultural Variation</w:t>
      </w:r>
    </w:p>
    <w:p w:rsidR="00C918F8" w:rsidRPr="00447D31" w:rsidRDefault="00C918F8" w:rsidP="00C918F8">
      <w:pPr>
        <w:rPr>
          <w:sz w:val="19"/>
          <w:szCs w:val="19"/>
        </w:rPr>
      </w:pPr>
      <w:r w:rsidRPr="00447D31">
        <w:rPr>
          <w:sz w:val="19"/>
          <w:szCs w:val="19"/>
        </w:rPr>
        <w:lastRenderedPageBreak/>
        <w:t xml:space="preserve">The indigenous cultures of Java and Bali were brought under influence from India in the early centuries A.D., and we have no historical records from periods preceding the advent of Indian influence. Java and Bali were joined by politics and political marriages under various Hindu-Buddhist dynasties up to the eleventh century. Later the </w:t>
      </w:r>
      <w:proofErr w:type="spellStart"/>
      <w:r w:rsidRPr="00447D31">
        <w:rPr>
          <w:sz w:val="19"/>
          <w:szCs w:val="19"/>
        </w:rPr>
        <w:t>Madjapahit</w:t>
      </w:r>
      <w:proofErr w:type="spellEnd"/>
      <w:r w:rsidRPr="00447D31">
        <w:rPr>
          <w:sz w:val="19"/>
          <w:szCs w:val="19"/>
        </w:rPr>
        <w:t xml:space="preserve"> dynasty in Java renewed control over Bali. </w:t>
      </w:r>
      <w:proofErr w:type="spellStart"/>
      <w:r w:rsidRPr="00447D31">
        <w:rPr>
          <w:sz w:val="19"/>
          <w:szCs w:val="19"/>
        </w:rPr>
        <w:t>Madjapahit</w:t>
      </w:r>
      <w:proofErr w:type="spellEnd"/>
      <w:r w:rsidRPr="00447D31">
        <w:rPr>
          <w:sz w:val="19"/>
          <w:szCs w:val="19"/>
        </w:rPr>
        <w:t xml:space="preserve"> in Java was beset by the influence of Islam, and perhaps in reaction to this intellectual foreign importation the </w:t>
      </w:r>
      <w:proofErr w:type="spellStart"/>
      <w:r w:rsidRPr="00447D31">
        <w:rPr>
          <w:i/>
          <w:sz w:val="19"/>
          <w:szCs w:val="19"/>
        </w:rPr>
        <w:t>prijaji</w:t>
      </w:r>
      <w:proofErr w:type="spellEnd"/>
      <w:r w:rsidRPr="00447D31">
        <w:rPr>
          <w:sz w:val="19"/>
          <w:szCs w:val="19"/>
        </w:rPr>
        <w:t xml:space="preserve"> developed their highly nationalistic brand of mysticism. Islam did not extend its influence to any appreciable extent in Bali, however, and with the fall of </w:t>
      </w:r>
      <w:proofErr w:type="spellStart"/>
      <w:r w:rsidRPr="00447D31">
        <w:rPr>
          <w:sz w:val="19"/>
          <w:szCs w:val="19"/>
        </w:rPr>
        <w:t>Madjapahit</w:t>
      </w:r>
      <w:proofErr w:type="spellEnd"/>
      <w:r w:rsidRPr="00447D31">
        <w:rPr>
          <w:sz w:val="19"/>
          <w:szCs w:val="19"/>
        </w:rPr>
        <w:t xml:space="preserve"> in the fifteenth century, the </w:t>
      </w:r>
      <w:proofErr w:type="spellStart"/>
      <w:r w:rsidRPr="00447D31">
        <w:rPr>
          <w:sz w:val="19"/>
          <w:szCs w:val="19"/>
        </w:rPr>
        <w:t>Madjapahit</w:t>
      </w:r>
      <w:proofErr w:type="spellEnd"/>
      <w:r w:rsidRPr="00447D31">
        <w:rPr>
          <w:sz w:val="19"/>
          <w:szCs w:val="19"/>
        </w:rPr>
        <w:t xml:space="preserve"> nobility moved </w:t>
      </w:r>
      <w:proofErr w:type="spellStart"/>
      <w:r w:rsidRPr="00447D31">
        <w:rPr>
          <w:sz w:val="19"/>
          <w:szCs w:val="19"/>
        </w:rPr>
        <w:t>en</w:t>
      </w:r>
      <w:proofErr w:type="spellEnd"/>
      <w:r w:rsidRPr="00447D31">
        <w:rPr>
          <w:sz w:val="19"/>
          <w:szCs w:val="19"/>
        </w:rPr>
        <w:t xml:space="preserve"> masse to Bali, bringing with them the traditions of Hindu-Buddhist culture. Certain elements of this tradition have been preserved in Bali. After </w:t>
      </w:r>
      <w:proofErr w:type="spellStart"/>
      <w:r w:rsidRPr="00447D31">
        <w:rPr>
          <w:sz w:val="19"/>
          <w:szCs w:val="19"/>
        </w:rPr>
        <w:t>Madjapahit</w:t>
      </w:r>
      <w:proofErr w:type="spellEnd"/>
      <w:r w:rsidRPr="00447D31">
        <w:rPr>
          <w:sz w:val="19"/>
          <w:szCs w:val="19"/>
        </w:rPr>
        <w:t xml:space="preserve">, the cultures of Java and Bali, up to then more or less homogeneous, evolved along different lines. </w:t>
      </w:r>
      <w:proofErr w:type="gramStart"/>
      <w:r w:rsidRPr="00447D31">
        <w:rPr>
          <w:sz w:val="19"/>
          <w:szCs w:val="19"/>
        </w:rPr>
        <w:t>Western influence in Java dates from the seventeenth century; Bali, however, resisted complete Dutch control until early in the twentieth century.</w:t>
      </w:r>
      <w:proofErr w:type="gramEnd"/>
      <w:r w:rsidRPr="00447D31">
        <w:rPr>
          <w:sz w:val="19"/>
          <w:szCs w:val="19"/>
        </w:rPr>
        <w:t xml:space="preserve"> The Dutch in Java worked through the </w:t>
      </w:r>
      <w:proofErr w:type="spellStart"/>
      <w:r w:rsidRPr="00447D31">
        <w:rPr>
          <w:i/>
          <w:sz w:val="19"/>
          <w:szCs w:val="19"/>
        </w:rPr>
        <w:t>prijaji</w:t>
      </w:r>
      <w:proofErr w:type="spellEnd"/>
      <w:r w:rsidRPr="00447D31">
        <w:rPr>
          <w:sz w:val="19"/>
          <w:szCs w:val="19"/>
        </w:rPr>
        <w:t>, thus reinforcing the power of the traditional government. In Bali the nobility gradually lost its power and influence.</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t xml:space="preserve">In Java the advent of Islam resulted in the formation of a tripartite society, Dutch control strengthening the leadership prerogatives of the traditional nobility. Thus in Java cultural patterns originating with the nobility filtered down to the peasantry and mixed with and influenced </w:t>
      </w:r>
      <w:proofErr w:type="spellStart"/>
      <w:r w:rsidRPr="00447D31">
        <w:rPr>
          <w:i/>
          <w:sz w:val="19"/>
          <w:szCs w:val="19"/>
        </w:rPr>
        <w:t>abangan</w:t>
      </w:r>
      <w:proofErr w:type="spellEnd"/>
      <w:r w:rsidRPr="00447D31">
        <w:rPr>
          <w:sz w:val="19"/>
          <w:szCs w:val="19"/>
        </w:rPr>
        <w:t xml:space="preserve"> values, the peasantry attempting to emulate</w:t>
      </w:r>
      <w:r w:rsidR="00E47CBD" w:rsidRPr="00447D31">
        <w:rPr>
          <w:rStyle w:val="FootnoteReference"/>
          <w:sz w:val="19"/>
          <w:szCs w:val="19"/>
        </w:rPr>
        <w:footnoteReference w:id="17"/>
      </w:r>
      <w:r w:rsidRPr="00447D31">
        <w:rPr>
          <w:sz w:val="19"/>
          <w:szCs w:val="19"/>
        </w:rPr>
        <w:t xml:space="preserve"> the gentry, considering elite cultural values the national ideal, the quintessence</w:t>
      </w:r>
      <w:r w:rsidR="00E47CBD" w:rsidRPr="00447D31">
        <w:rPr>
          <w:rStyle w:val="FootnoteReference"/>
          <w:sz w:val="19"/>
          <w:szCs w:val="19"/>
        </w:rPr>
        <w:footnoteReference w:id="18"/>
      </w:r>
      <w:r w:rsidRPr="00447D31">
        <w:rPr>
          <w:sz w:val="19"/>
          <w:szCs w:val="19"/>
        </w:rPr>
        <w:t xml:space="preserve"> of </w:t>
      </w:r>
      <w:proofErr w:type="spellStart"/>
      <w:r w:rsidRPr="00447D31">
        <w:rPr>
          <w:sz w:val="19"/>
          <w:szCs w:val="19"/>
        </w:rPr>
        <w:t>Javanism</w:t>
      </w:r>
      <w:proofErr w:type="spellEnd"/>
      <w:r w:rsidRPr="00447D31">
        <w:rPr>
          <w:sz w:val="19"/>
          <w:szCs w:val="19"/>
        </w:rPr>
        <w:t>. This is the reason for the air of refinement permeating</w:t>
      </w:r>
      <w:r w:rsidR="00E47CBD" w:rsidRPr="00447D31">
        <w:rPr>
          <w:rStyle w:val="FootnoteReference"/>
          <w:sz w:val="19"/>
          <w:szCs w:val="19"/>
        </w:rPr>
        <w:footnoteReference w:id="19"/>
      </w:r>
      <w:r w:rsidRPr="00447D31">
        <w:rPr>
          <w:sz w:val="19"/>
          <w:szCs w:val="19"/>
        </w:rPr>
        <w:t xml:space="preserve"> Javanese culture.</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t>In Bali the imported nobility was less important; the nobleman was a power to be tolerated, not an ideal figure to be emulated. The basic cultural values originated with the community, hence their more popular character.</w:t>
      </w:r>
    </w:p>
    <w:p w:rsidR="00C918F8" w:rsidRPr="00447D31" w:rsidRDefault="00C918F8" w:rsidP="00C918F8">
      <w:pPr>
        <w:spacing w:line="240" w:lineRule="auto"/>
        <w:rPr>
          <w:sz w:val="19"/>
          <w:szCs w:val="19"/>
        </w:rPr>
      </w:pPr>
    </w:p>
    <w:p w:rsidR="00C918F8" w:rsidRPr="00447D31" w:rsidRDefault="00C918F8" w:rsidP="00C918F8">
      <w:pPr>
        <w:spacing w:after="240" w:line="240" w:lineRule="auto"/>
        <w:rPr>
          <w:b/>
          <w:sz w:val="19"/>
          <w:szCs w:val="19"/>
        </w:rPr>
      </w:pPr>
      <w:r w:rsidRPr="00447D31">
        <w:rPr>
          <w:b/>
          <w:sz w:val="19"/>
          <w:szCs w:val="19"/>
        </w:rPr>
        <w:t xml:space="preserve">The Relationships </w:t>
      </w:r>
      <w:proofErr w:type="gramStart"/>
      <w:r w:rsidRPr="00447D31">
        <w:rPr>
          <w:b/>
          <w:sz w:val="19"/>
          <w:szCs w:val="19"/>
        </w:rPr>
        <w:t>Between</w:t>
      </w:r>
      <w:proofErr w:type="gramEnd"/>
      <w:r w:rsidRPr="00447D31">
        <w:rPr>
          <w:b/>
          <w:sz w:val="19"/>
          <w:szCs w:val="19"/>
        </w:rPr>
        <w:t xml:space="preserve"> Cultural Patterns and Music Style</w:t>
      </w:r>
      <w:r w:rsidR="005C7C8D" w:rsidRPr="00447D31">
        <w:rPr>
          <w:b/>
          <w:sz w:val="19"/>
          <w:szCs w:val="19"/>
        </w:rPr>
        <w:t>s</w:t>
      </w:r>
      <w:r w:rsidRPr="00447D31">
        <w:rPr>
          <w:sz w:val="19"/>
          <w:szCs w:val="19"/>
        </w:rPr>
        <w:t xml:space="preserve"> </w:t>
      </w:r>
    </w:p>
    <w:p w:rsidR="00C918F8" w:rsidRPr="00447D31" w:rsidRDefault="00C918F8" w:rsidP="00C918F8">
      <w:pPr>
        <w:rPr>
          <w:sz w:val="19"/>
          <w:szCs w:val="19"/>
        </w:rPr>
      </w:pPr>
      <w:r w:rsidRPr="00447D31">
        <w:rPr>
          <w:sz w:val="19"/>
          <w:szCs w:val="19"/>
        </w:rPr>
        <w:t>The nature of the contrasting gentry-peasantry relationships in Java and Bali would seem to explain the differences of musical style. ". . . traditionally, the musicians in service of the Royal Courts of Central Java were palace servants. The music t</w:t>
      </w:r>
      <w:r w:rsidR="00453D11" w:rsidRPr="00447D31">
        <w:rPr>
          <w:sz w:val="19"/>
          <w:szCs w:val="19"/>
        </w:rPr>
        <w:t>hey composed and performed…</w:t>
      </w:r>
      <w:r w:rsidRPr="00447D31">
        <w:rPr>
          <w:sz w:val="19"/>
          <w:szCs w:val="19"/>
        </w:rPr>
        <w:t xml:space="preserve"> enjoyed the highest evaluation not only by the elite for whom they performed, but also by all levels of society who emulated the same repertoire</w:t>
      </w:r>
      <w:r w:rsidR="00453D11" w:rsidRPr="00447D31">
        <w:rPr>
          <w:rStyle w:val="FootnoteReference"/>
          <w:sz w:val="19"/>
          <w:szCs w:val="19"/>
        </w:rPr>
        <w:footnoteReference w:id="20"/>
      </w:r>
      <w:r w:rsidRPr="00447D31">
        <w:rPr>
          <w:sz w:val="19"/>
          <w:szCs w:val="19"/>
        </w:rPr>
        <w:t xml:space="preserve"> through the communal efforts of the village musicians performing on instruments of relatively poor quality." (Hood 1963a:3) By contrast, "one of the most famous orchestras in Bali is to be found in the remote mountain village of </w:t>
      </w:r>
      <w:proofErr w:type="spellStart"/>
      <w:r w:rsidRPr="00447D31">
        <w:rPr>
          <w:i/>
          <w:sz w:val="19"/>
          <w:szCs w:val="19"/>
        </w:rPr>
        <w:t>Selat</w:t>
      </w:r>
      <w:proofErr w:type="spellEnd"/>
      <w:r w:rsidRPr="00447D31">
        <w:rPr>
          <w:sz w:val="19"/>
          <w:szCs w:val="19"/>
        </w:rPr>
        <w:t xml:space="preserve">, and the finest dancers of </w:t>
      </w:r>
      <w:proofErr w:type="spellStart"/>
      <w:r w:rsidRPr="00447D31">
        <w:rPr>
          <w:i/>
          <w:sz w:val="19"/>
          <w:szCs w:val="19"/>
        </w:rPr>
        <w:t>legong</w:t>
      </w:r>
      <w:proofErr w:type="spellEnd"/>
      <w:r w:rsidRPr="00447D31">
        <w:rPr>
          <w:sz w:val="19"/>
          <w:szCs w:val="19"/>
        </w:rPr>
        <w:t xml:space="preserve"> were in Saba, an unimportant little village hidden among the rice</w:t>
      </w:r>
      <w:r w:rsidR="00E47CBD" w:rsidRPr="00447D31">
        <w:rPr>
          <w:sz w:val="19"/>
          <w:szCs w:val="19"/>
        </w:rPr>
        <w:t xml:space="preserve"> </w:t>
      </w:r>
      <w:r w:rsidRPr="00447D31">
        <w:rPr>
          <w:sz w:val="19"/>
          <w:szCs w:val="19"/>
        </w:rPr>
        <w:t>fields . . . The Balinese did not permit the centralization of the artistic knowledge in a special intellectual class.'' (Covarrubias 1937:160 62)</w:t>
      </w:r>
    </w:p>
    <w:p w:rsidR="00C918F8" w:rsidRPr="00447D31" w:rsidRDefault="00C918F8" w:rsidP="00C918F8">
      <w:pPr>
        <w:rPr>
          <w:sz w:val="19"/>
          <w:szCs w:val="19"/>
        </w:rPr>
      </w:pPr>
    </w:p>
    <w:p w:rsidR="00C918F8" w:rsidRPr="00447D31" w:rsidRDefault="00C918F8" w:rsidP="00C918F8">
      <w:pPr>
        <w:rPr>
          <w:sz w:val="19"/>
          <w:szCs w:val="19"/>
        </w:rPr>
      </w:pPr>
      <w:r w:rsidRPr="00447D31">
        <w:rPr>
          <w:sz w:val="19"/>
          <w:szCs w:val="19"/>
        </w:rPr>
        <w:t xml:space="preserve">The factors of preservation and change are present in Balinese and Javanese music history. The </w:t>
      </w:r>
      <w:proofErr w:type="spellStart"/>
      <w:r w:rsidRPr="00447D31">
        <w:rPr>
          <w:i/>
          <w:sz w:val="19"/>
          <w:szCs w:val="19"/>
        </w:rPr>
        <w:t>rejong</w:t>
      </w:r>
      <w:proofErr w:type="spellEnd"/>
      <w:r w:rsidRPr="00447D31">
        <w:rPr>
          <w:sz w:val="19"/>
          <w:szCs w:val="19"/>
        </w:rPr>
        <w:t>, for instance, evolved from the shared prototype (known from East Java temple reliefs) in different directions in Java toward the improvisatory</w:t>
      </w:r>
      <w:r w:rsidR="00453D11" w:rsidRPr="00447D31">
        <w:rPr>
          <w:rStyle w:val="FootnoteReference"/>
          <w:sz w:val="19"/>
          <w:szCs w:val="19"/>
        </w:rPr>
        <w:footnoteReference w:id="21"/>
      </w:r>
      <w:r w:rsidRPr="00447D31">
        <w:rPr>
          <w:sz w:val="19"/>
          <w:szCs w:val="19"/>
        </w:rPr>
        <w:t xml:space="preserve"> </w:t>
      </w:r>
      <w:proofErr w:type="spellStart"/>
      <w:r w:rsidRPr="00447D31">
        <w:rPr>
          <w:i/>
          <w:sz w:val="19"/>
          <w:szCs w:val="19"/>
        </w:rPr>
        <w:t>bonang</w:t>
      </w:r>
      <w:proofErr w:type="spellEnd"/>
      <w:r w:rsidRPr="00447D31">
        <w:rPr>
          <w:sz w:val="19"/>
          <w:szCs w:val="19"/>
        </w:rPr>
        <w:t xml:space="preserve">, in Bali toward the volatile four-man </w:t>
      </w:r>
      <w:proofErr w:type="spellStart"/>
      <w:r w:rsidRPr="00447D31">
        <w:rPr>
          <w:i/>
          <w:sz w:val="19"/>
          <w:szCs w:val="19"/>
        </w:rPr>
        <w:t>rejong</w:t>
      </w:r>
      <w:proofErr w:type="spellEnd"/>
      <w:r w:rsidRPr="00447D31">
        <w:rPr>
          <w:sz w:val="19"/>
          <w:szCs w:val="19"/>
        </w:rPr>
        <w:t xml:space="preserve">. </w:t>
      </w:r>
      <w:proofErr w:type="spellStart"/>
      <w:r w:rsidRPr="00447D31">
        <w:rPr>
          <w:i/>
          <w:sz w:val="19"/>
          <w:szCs w:val="19"/>
        </w:rPr>
        <w:t>Wayang</w:t>
      </w:r>
      <w:proofErr w:type="spellEnd"/>
      <w:r w:rsidRPr="00447D31">
        <w:rPr>
          <w:sz w:val="19"/>
          <w:szCs w:val="19"/>
        </w:rPr>
        <w:t xml:space="preserve"> puppets were probably preserved better </w:t>
      </w:r>
      <w:r w:rsidR="00453D11" w:rsidRPr="00447D31">
        <w:rPr>
          <w:sz w:val="19"/>
          <w:szCs w:val="19"/>
        </w:rPr>
        <w:t>in Bali because of the realism</w:t>
      </w:r>
      <w:r w:rsidR="00453D11" w:rsidRPr="00447D31">
        <w:rPr>
          <w:rStyle w:val="FootnoteReference"/>
          <w:sz w:val="19"/>
          <w:szCs w:val="19"/>
        </w:rPr>
        <w:footnoteReference w:id="22"/>
      </w:r>
      <w:r w:rsidR="00453D11" w:rsidRPr="00447D31">
        <w:rPr>
          <w:sz w:val="19"/>
          <w:szCs w:val="19"/>
        </w:rPr>
        <w:t xml:space="preserve"> a</w:t>
      </w:r>
      <w:r w:rsidRPr="00447D31">
        <w:rPr>
          <w:sz w:val="19"/>
          <w:szCs w:val="19"/>
        </w:rPr>
        <w:t>nd direct appeal of the traditional figures. In Java the urge towards refinement, and perhaps the influence of Islam, contributed to the evolution of more abstract and stylized figures. The reverse situation appears in relation to traditional tunes, which have probably been preserved better in the Royal Court manuscripts of Java than in the mercurial oral tradition of Bali.</w:t>
      </w:r>
    </w:p>
    <w:p w:rsidR="00C918F8" w:rsidRPr="00447D31" w:rsidRDefault="00C918F8" w:rsidP="00C918F8">
      <w:pPr>
        <w:rPr>
          <w:sz w:val="19"/>
          <w:szCs w:val="19"/>
        </w:rPr>
      </w:pPr>
    </w:p>
    <w:p w:rsidR="00320CF2" w:rsidRPr="00447D31" w:rsidRDefault="00C918F8" w:rsidP="00C918F8">
      <w:pPr>
        <w:rPr>
          <w:sz w:val="19"/>
          <w:szCs w:val="19"/>
        </w:rPr>
      </w:pPr>
      <w:r w:rsidRPr="00447D31">
        <w:rPr>
          <w:sz w:val="19"/>
          <w:szCs w:val="19"/>
        </w:rPr>
        <w:t>Thus we see that differences of musical style in Java and Bali may be attributed to and justified by factors of preservation and change acting through time in the context of cultural patterns congenial</w:t>
      </w:r>
      <w:r w:rsidR="00453D11" w:rsidRPr="00447D31">
        <w:rPr>
          <w:rStyle w:val="FootnoteReference"/>
          <w:sz w:val="19"/>
          <w:szCs w:val="19"/>
        </w:rPr>
        <w:footnoteReference w:id="23"/>
      </w:r>
      <w:r w:rsidRPr="00447D31">
        <w:rPr>
          <w:sz w:val="19"/>
          <w:szCs w:val="19"/>
        </w:rPr>
        <w:t xml:space="preserve"> to the individual spirits of each island society.</w:t>
      </w:r>
    </w:p>
    <w:p w:rsidR="00447D31" w:rsidRPr="00453D11" w:rsidRDefault="00447D31" w:rsidP="00C918F8">
      <w:pPr>
        <w:rPr>
          <w:sz w:val="20"/>
          <w:szCs w:val="20"/>
        </w:rPr>
      </w:pPr>
    </w:p>
    <w:sectPr w:rsidR="00447D31" w:rsidRPr="00453D11" w:rsidSect="00C918F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69F" w:rsidRDefault="00C8569F" w:rsidP="00C8569F">
      <w:pPr>
        <w:spacing w:line="240" w:lineRule="auto"/>
      </w:pPr>
      <w:r>
        <w:separator/>
      </w:r>
    </w:p>
  </w:endnote>
  <w:endnote w:type="continuationSeparator" w:id="0">
    <w:p w:rsidR="00C8569F" w:rsidRDefault="00C8569F" w:rsidP="00C85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69F" w:rsidRDefault="00C8569F" w:rsidP="00C8569F">
      <w:pPr>
        <w:spacing w:line="240" w:lineRule="auto"/>
      </w:pPr>
      <w:r>
        <w:separator/>
      </w:r>
    </w:p>
  </w:footnote>
  <w:footnote w:type="continuationSeparator" w:id="0">
    <w:p w:rsidR="00C8569F" w:rsidRDefault="00C8569F" w:rsidP="00C8569F">
      <w:pPr>
        <w:spacing w:line="240" w:lineRule="auto"/>
      </w:pPr>
      <w:r>
        <w:continuationSeparator/>
      </w:r>
    </w:p>
  </w:footnote>
  <w:footnote w:id="1">
    <w:p w:rsidR="00C8569F" w:rsidRPr="00453D11" w:rsidRDefault="00C8569F">
      <w:pPr>
        <w:pStyle w:val="FootnoteText"/>
        <w:rPr>
          <w:sz w:val="18"/>
          <w:szCs w:val="18"/>
        </w:rPr>
      </w:pPr>
      <w:r w:rsidRPr="00453D11">
        <w:rPr>
          <w:rStyle w:val="FootnoteReference"/>
          <w:sz w:val="18"/>
          <w:szCs w:val="18"/>
        </w:rPr>
        <w:footnoteRef/>
      </w:r>
      <w:r w:rsidRPr="00453D11">
        <w:rPr>
          <w:sz w:val="18"/>
          <w:szCs w:val="18"/>
        </w:rPr>
        <w:t xml:space="preserve"> Legato: in a smooth, flowing manner</w:t>
      </w:r>
    </w:p>
  </w:footnote>
  <w:footnote w:id="2">
    <w:p w:rsidR="00453D11" w:rsidRDefault="00453D11">
      <w:pPr>
        <w:pStyle w:val="FootnoteText"/>
      </w:pPr>
      <w:r w:rsidRPr="00453D11">
        <w:rPr>
          <w:rStyle w:val="FootnoteReference"/>
          <w:sz w:val="18"/>
          <w:szCs w:val="18"/>
        </w:rPr>
        <w:footnoteRef/>
      </w:r>
      <w:r w:rsidRPr="00453D11">
        <w:rPr>
          <w:sz w:val="18"/>
          <w:szCs w:val="18"/>
        </w:rPr>
        <w:t xml:space="preserve"> Metallophone: any musical instrument consisting of tuned metal bars which are struck to make sound, usually with a mallet</w:t>
      </w:r>
      <w:r>
        <w:t>.</w:t>
      </w:r>
    </w:p>
  </w:footnote>
  <w:footnote w:id="3">
    <w:p w:rsidR="00C8569F" w:rsidRPr="00453D11" w:rsidRDefault="00C8569F">
      <w:pPr>
        <w:pStyle w:val="FootnoteText"/>
        <w:rPr>
          <w:sz w:val="18"/>
          <w:szCs w:val="18"/>
        </w:rPr>
      </w:pPr>
      <w:r w:rsidRPr="00453D11">
        <w:rPr>
          <w:rStyle w:val="FootnoteReference"/>
          <w:sz w:val="18"/>
          <w:szCs w:val="18"/>
        </w:rPr>
        <w:footnoteRef/>
      </w:r>
      <w:r w:rsidRPr="00453D11">
        <w:rPr>
          <w:sz w:val="18"/>
          <w:szCs w:val="18"/>
        </w:rPr>
        <w:t xml:space="preserve"> Gamelan: A traditional  musical group of Indonesia, including many bronze percussion instruments</w:t>
      </w:r>
    </w:p>
  </w:footnote>
  <w:footnote w:id="4">
    <w:p w:rsidR="005D3FCD" w:rsidRPr="00453D11" w:rsidRDefault="005D3FCD">
      <w:pPr>
        <w:pStyle w:val="FootnoteText"/>
        <w:rPr>
          <w:sz w:val="18"/>
          <w:szCs w:val="18"/>
        </w:rPr>
      </w:pPr>
      <w:r w:rsidRPr="00453D11">
        <w:rPr>
          <w:rStyle w:val="FootnoteReference"/>
          <w:sz w:val="18"/>
          <w:szCs w:val="18"/>
        </w:rPr>
        <w:footnoteRef/>
      </w:r>
      <w:r w:rsidRPr="00453D11">
        <w:rPr>
          <w:sz w:val="18"/>
          <w:szCs w:val="18"/>
        </w:rPr>
        <w:t xml:space="preserve"> Turbulent: characterized by conflict, disorder, or confusion. Not controlled or calm.</w:t>
      </w:r>
    </w:p>
  </w:footnote>
  <w:footnote w:id="5">
    <w:p w:rsidR="00F22478" w:rsidRPr="00453D11" w:rsidRDefault="00F22478">
      <w:pPr>
        <w:pStyle w:val="FootnoteText"/>
        <w:rPr>
          <w:sz w:val="18"/>
          <w:szCs w:val="18"/>
        </w:rPr>
      </w:pPr>
      <w:r w:rsidRPr="00453D11">
        <w:rPr>
          <w:rStyle w:val="FootnoteReference"/>
          <w:sz w:val="18"/>
          <w:szCs w:val="18"/>
        </w:rPr>
        <w:footnoteRef/>
      </w:r>
      <w:r w:rsidRPr="00453D11">
        <w:rPr>
          <w:sz w:val="18"/>
          <w:szCs w:val="18"/>
        </w:rPr>
        <w:t xml:space="preserve"> </w:t>
      </w:r>
      <w:r w:rsidR="005D3FCD" w:rsidRPr="00453D11">
        <w:rPr>
          <w:sz w:val="18"/>
          <w:szCs w:val="18"/>
        </w:rPr>
        <w:t>Repository: a place where things are or may be stored.</w:t>
      </w:r>
    </w:p>
  </w:footnote>
  <w:footnote w:id="6">
    <w:p w:rsidR="005D3FCD" w:rsidRPr="00453D11" w:rsidRDefault="005D3FCD">
      <w:pPr>
        <w:pStyle w:val="FootnoteText"/>
        <w:rPr>
          <w:sz w:val="18"/>
          <w:szCs w:val="18"/>
        </w:rPr>
      </w:pPr>
      <w:r w:rsidRPr="00453D11">
        <w:rPr>
          <w:rStyle w:val="FootnoteReference"/>
          <w:sz w:val="18"/>
          <w:szCs w:val="18"/>
        </w:rPr>
        <w:footnoteRef/>
      </w:r>
      <w:r w:rsidRPr="00453D11">
        <w:rPr>
          <w:sz w:val="18"/>
          <w:szCs w:val="18"/>
        </w:rPr>
        <w:t xml:space="preserve"> Bas-Relief: a sculpture, carving or molding that has less depth to the faces and figures than they actually have.</w:t>
      </w:r>
    </w:p>
  </w:footnote>
  <w:footnote w:id="7">
    <w:p w:rsidR="005D3FCD" w:rsidRPr="00453D11" w:rsidRDefault="005D3FCD">
      <w:pPr>
        <w:pStyle w:val="FootnoteText"/>
        <w:rPr>
          <w:sz w:val="18"/>
          <w:szCs w:val="18"/>
        </w:rPr>
      </w:pPr>
      <w:r w:rsidRPr="00453D11">
        <w:rPr>
          <w:rStyle w:val="FootnoteReference"/>
          <w:sz w:val="18"/>
          <w:szCs w:val="18"/>
        </w:rPr>
        <w:footnoteRef/>
      </w:r>
      <w:r w:rsidRPr="00453D11">
        <w:rPr>
          <w:sz w:val="18"/>
          <w:szCs w:val="18"/>
        </w:rPr>
        <w:t xml:space="preserve"> Virulent: bitterly hostile, or extremely severe or harmful in its effects</w:t>
      </w:r>
    </w:p>
  </w:footnote>
  <w:footnote w:id="8">
    <w:p w:rsidR="005D3FCD" w:rsidRPr="00453D11" w:rsidRDefault="005D3FCD">
      <w:pPr>
        <w:pStyle w:val="FootnoteText"/>
        <w:rPr>
          <w:sz w:val="18"/>
          <w:szCs w:val="18"/>
        </w:rPr>
      </w:pPr>
      <w:r w:rsidRPr="00453D11">
        <w:rPr>
          <w:rStyle w:val="FootnoteReference"/>
          <w:sz w:val="18"/>
          <w:szCs w:val="18"/>
        </w:rPr>
        <w:footnoteRef/>
      </w:r>
      <w:r w:rsidRPr="00453D11">
        <w:rPr>
          <w:sz w:val="18"/>
          <w:szCs w:val="18"/>
        </w:rPr>
        <w:t xml:space="preserve"> Finesse: intricate or refined delicacy</w:t>
      </w:r>
    </w:p>
  </w:footnote>
  <w:footnote w:id="9">
    <w:p w:rsidR="00E47CBD" w:rsidRPr="00453D11" w:rsidRDefault="00E47CBD">
      <w:pPr>
        <w:pStyle w:val="FootnoteText"/>
        <w:rPr>
          <w:sz w:val="18"/>
          <w:szCs w:val="18"/>
        </w:rPr>
      </w:pPr>
      <w:r w:rsidRPr="00453D11">
        <w:rPr>
          <w:rStyle w:val="FootnoteReference"/>
          <w:sz w:val="18"/>
          <w:szCs w:val="18"/>
        </w:rPr>
        <w:footnoteRef/>
      </w:r>
      <w:r w:rsidRPr="00453D11">
        <w:rPr>
          <w:sz w:val="18"/>
          <w:szCs w:val="18"/>
        </w:rPr>
        <w:t xml:space="preserve"> Shamanist: Shamanism is a religion practiced by indigenous people </w:t>
      </w:r>
      <w:proofErr w:type="gramStart"/>
      <w:r w:rsidRPr="00453D11">
        <w:rPr>
          <w:sz w:val="18"/>
          <w:szCs w:val="18"/>
        </w:rPr>
        <w:t>that beliefs</w:t>
      </w:r>
      <w:proofErr w:type="gramEnd"/>
      <w:r w:rsidRPr="00453D11">
        <w:rPr>
          <w:sz w:val="18"/>
          <w:szCs w:val="18"/>
        </w:rPr>
        <w:t xml:space="preserve"> in gods, demons, and ancestral spirits.</w:t>
      </w:r>
    </w:p>
  </w:footnote>
  <w:footnote w:id="10">
    <w:p w:rsidR="00E47CBD" w:rsidRPr="00453D11" w:rsidRDefault="00E47CBD">
      <w:pPr>
        <w:pStyle w:val="FootnoteText"/>
        <w:rPr>
          <w:sz w:val="18"/>
          <w:szCs w:val="18"/>
        </w:rPr>
      </w:pPr>
      <w:r w:rsidRPr="00453D11">
        <w:rPr>
          <w:rStyle w:val="FootnoteReference"/>
          <w:sz w:val="18"/>
          <w:szCs w:val="18"/>
        </w:rPr>
        <w:footnoteRef/>
      </w:r>
      <w:r w:rsidRPr="00453D11">
        <w:rPr>
          <w:sz w:val="18"/>
          <w:szCs w:val="18"/>
        </w:rPr>
        <w:t xml:space="preserve"> Prerogative: a right or privilege exclusive to a particular individual or class.</w:t>
      </w:r>
    </w:p>
  </w:footnote>
  <w:footnote w:id="11">
    <w:p w:rsidR="00E47CBD" w:rsidRPr="00453D11" w:rsidRDefault="00E47CBD">
      <w:pPr>
        <w:pStyle w:val="FootnoteText"/>
        <w:rPr>
          <w:sz w:val="18"/>
          <w:szCs w:val="18"/>
        </w:rPr>
      </w:pPr>
      <w:r w:rsidRPr="00453D11">
        <w:rPr>
          <w:rStyle w:val="FootnoteReference"/>
          <w:sz w:val="18"/>
          <w:szCs w:val="18"/>
        </w:rPr>
        <w:footnoteRef/>
      </w:r>
      <w:r w:rsidRPr="00453D11">
        <w:rPr>
          <w:sz w:val="18"/>
          <w:szCs w:val="18"/>
        </w:rPr>
        <w:t xml:space="preserve"> Tripartite: consisting of three parts</w:t>
      </w:r>
    </w:p>
  </w:footnote>
  <w:footnote w:id="12">
    <w:p w:rsidR="00E47CBD" w:rsidRPr="00453D11" w:rsidRDefault="00E47CBD">
      <w:pPr>
        <w:pStyle w:val="FootnoteText"/>
        <w:rPr>
          <w:sz w:val="18"/>
          <w:szCs w:val="18"/>
        </w:rPr>
      </w:pPr>
      <w:r w:rsidRPr="00453D11">
        <w:rPr>
          <w:rStyle w:val="FootnoteReference"/>
          <w:sz w:val="18"/>
          <w:szCs w:val="18"/>
        </w:rPr>
        <w:footnoteRef/>
      </w:r>
      <w:r w:rsidRPr="00453D11">
        <w:rPr>
          <w:sz w:val="18"/>
          <w:szCs w:val="18"/>
        </w:rPr>
        <w:t xml:space="preserve"> Propitiation: the action of appeasing a god, spirit, or person.</w:t>
      </w:r>
    </w:p>
  </w:footnote>
  <w:footnote w:id="13">
    <w:p w:rsidR="00E47CBD" w:rsidRPr="00453D11" w:rsidRDefault="00E47CBD">
      <w:pPr>
        <w:pStyle w:val="FootnoteText"/>
        <w:rPr>
          <w:sz w:val="18"/>
          <w:szCs w:val="18"/>
        </w:rPr>
      </w:pPr>
      <w:r w:rsidRPr="00453D11">
        <w:rPr>
          <w:rStyle w:val="FootnoteReference"/>
          <w:sz w:val="18"/>
          <w:szCs w:val="18"/>
        </w:rPr>
        <w:footnoteRef/>
      </w:r>
      <w:r w:rsidRPr="00453D11">
        <w:rPr>
          <w:sz w:val="18"/>
          <w:szCs w:val="18"/>
        </w:rPr>
        <w:t xml:space="preserve"> Lingua franca: language that is adopted as the common language between speakers whose native languages are different.</w:t>
      </w:r>
    </w:p>
  </w:footnote>
  <w:footnote w:id="14">
    <w:p w:rsidR="00E47CBD" w:rsidRPr="00453D11" w:rsidRDefault="00E47CBD">
      <w:pPr>
        <w:pStyle w:val="FootnoteText"/>
        <w:rPr>
          <w:sz w:val="18"/>
          <w:szCs w:val="18"/>
        </w:rPr>
      </w:pPr>
      <w:r w:rsidRPr="00453D11">
        <w:rPr>
          <w:rStyle w:val="FootnoteReference"/>
          <w:sz w:val="18"/>
          <w:szCs w:val="18"/>
        </w:rPr>
        <w:footnoteRef/>
      </w:r>
      <w:r w:rsidRPr="00453D11">
        <w:rPr>
          <w:sz w:val="18"/>
          <w:szCs w:val="18"/>
        </w:rPr>
        <w:t xml:space="preserve"> Efficacious: successful in producing a desire or intended result; effective</w:t>
      </w:r>
    </w:p>
  </w:footnote>
  <w:footnote w:id="15">
    <w:p w:rsidR="00453D11" w:rsidRPr="00453D11" w:rsidRDefault="00453D11">
      <w:pPr>
        <w:pStyle w:val="FootnoteText"/>
        <w:rPr>
          <w:sz w:val="18"/>
          <w:szCs w:val="18"/>
        </w:rPr>
      </w:pPr>
      <w:r w:rsidRPr="00453D11">
        <w:rPr>
          <w:rStyle w:val="FootnoteReference"/>
          <w:sz w:val="18"/>
          <w:szCs w:val="18"/>
        </w:rPr>
        <w:footnoteRef/>
      </w:r>
      <w:r w:rsidRPr="00453D11">
        <w:rPr>
          <w:sz w:val="18"/>
          <w:szCs w:val="18"/>
        </w:rPr>
        <w:t xml:space="preserve"> Itinerant: traveling from place to place</w:t>
      </w:r>
    </w:p>
  </w:footnote>
  <w:footnote w:id="16">
    <w:p w:rsidR="00453D11" w:rsidRPr="00453D11" w:rsidRDefault="00453D11">
      <w:pPr>
        <w:pStyle w:val="FootnoteText"/>
        <w:rPr>
          <w:sz w:val="18"/>
          <w:szCs w:val="18"/>
        </w:rPr>
      </w:pPr>
      <w:r w:rsidRPr="00453D11">
        <w:rPr>
          <w:rStyle w:val="FootnoteReference"/>
          <w:sz w:val="18"/>
          <w:szCs w:val="18"/>
        </w:rPr>
        <w:footnoteRef/>
      </w:r>
      <w:r w:rsidRPr="00453D11">
        <w:rPr>
          <w:sz w:val="18"/>
          <w:szCs w:val="18"/>
        </w:rPr>
        <w:t xml:space="preserve"> Foregoing: the things just mentioned or stated</w:t>
      </w:r>
    </w:p>
  </w:footnote>
  <w:footnote w:id="17">
    <w:p w:rsidR="00E47CBD" w:rsidRPr="00453D11" w:rsidRDefault="00E47CBD">
      <w:pPr>
        <w:pStyle w:val="FootnoteText"/>
        <w:rPr>
          <w:sz w:val="18"/>
          <w:szCs w:val="18"/>
        </w:rPr>
      </w:pPr>
      <w:r w:rsidRPr="00453D11">
        <w:rPr>
          <w:rStyle w:val="FootnoteReference"/>
          <w:sz w:val="18"/>
          <w:szCs w:val="18"/>
        </w:rPr>
        <w:footnoteRef/>
      </w:r>
      <w:r w:rsidRPr="00453D11">
        <w:rPr>
          <w:sz w:val="18"/>
          <w:szCs w:val="18"/>
        </w:rPr>
        <w:t xml:space="preserve"> Emulate: Emulate: match or surpass, typically by imitation</w:t>
      </w:r>
    </w:p>
  </w:footnote>
  <w:footnote w:id="18">
    <w:p w:rsidR="00E47CBD" w:rsidRPr="00453D11" w:rsidRDefault="00E47CBD">
      <w:pPr>
        <w:pStyle w:val="FootnoteText"/>
        <w:rPr>
          <w:sz w:val="18"/>
          <w:szCs w:val="18"/>
        </w:rPr>
      </w:pPr>
      <w:r w:rsidRPr="00453D11">
        <w:rPr>
          <w:rStyle w:val="FootnoteReference"/>
          <w:sz w:val="18"/>
          <w:szCs w:val="18"/>
        </w:rPr>
        <w:footnoteRef/>
      </w:r>
      <w:r w:rsidRPr="00453D11">
        <w:rPr>
          <w:sz w:val="18"/>
          <w:szCs w:val="18"/>
        </w:rPr>
        <w:t xml:space="preserve"> Quintessence: the most perfect typical example of quality or class.</w:t>
      </w:r>
    </w:p>
  </w:footnote>
  <w:footnote w:id="19">
    <w:p w:rsidR="00E47CBD" w:rsidRPr="00453D11" w:rsidRDefault="00E47CBD">
      <w:pPr>
        <w:pStyle w:val="FootnoteText"/>
        <w:rPr>
          <w:sz w:val="18"/>
          <w:szCs w:val="18"/>
        </w:rPr>
      </w:pPr>
      <w:r w:rsidRPr="00453D11">
        <w:rPr>
          <w:rStyle w:val="FootnoteReference"/>
          <w:sz w:val="18"/>
          <w:szCs w:val="18"/>
        </w:rPr>
        <w:footnoteRef/>
      </w:r>
      <w:r w:rsidRPr="00453D11">
        <w:rPr>
          <w:sz w:val="18"/>
          <w:szCs w:val="18"/>
        </w:rPr>
        <w:t xml:space="preserve"> Permeate: spread throughout</w:t>
      </w:r>
    </w:p>
  </w:footnote>
  <w:footnote w:id="20">
    <w:p w:rsidR="00453D11" w:rsidRPr="00453D11" w:rsidRDefault="00453D11">
      <w:pPr>
        <w:pStyle w:val="FootnoteText"/>
        <w:rPr>
          <w:sz w:val="18"/>
          <w:szCs w:val="18"/>
        </w:rPr>
      </w:pPr>
      <w:r w:rsidRPr="00453D11">
        <w:rPr>
          <w:rStyle w:val="FootnoteReference"/>
          <w:sz w:val="18"/>
          <w:szCs w:val="18"/>
        </w:rPr>
        <w:footnoteRef/>
      </w:r>
      <w:r w:rsidRPr="00453D11">
        <w:rPr>
          <w:sz w:val="18"/>
          <w:szCs w:val="18"/>
        </w:rPr>
        <w:t xml:space="preserve"> Repertoire: a stock of plays, dances, or pieces that a company or performer knows or is prepared to perform</w:t>
      </w:r>
    </w:p>
  </w:footnote>
  <w:footnote w:id="21">
    <w:p w:rsidR="00453D11" w:rsidRPr="00453D11" w:rsidRDefault="00453D11">
      <w:pPr>
        <w:pStyle w:val="FootnoteText"/>
        <w:rPr>
          <w:sz w:val="18"/>
          <w:szCs w:val="18"/>
        </w:rPr>
      </w:pPr>
      <w:r w:rsidRPr="00453D11">
        <w:rPr>
          <w:rStyle w:val="FootnoteReference"/>
          <w:sz w:val="18"/>
          <w:szCs w:val="18"/>
        </w:rPr>
        <w:footnoteRef/>
      </w:r>
      <w:r w:rsidRPr="00453D11">
        <w:rPr>
          <w:sz w:val="18"/>
          <w:szCs w:val="18"/>
        </w:rPr>
        <w:t xml:space="preserve"> Improvisatory: to create or perform spontaneously or without preparation</w:t>
      </w:r>
    </w:p>
  </w:footnote>
  <w:footnote w:id="22">
    <w:p w:rsidR="00453D11" w:rsidRPr="00453D11" w:rsidRDefault="00453D11">
      <w:pPr>
        <w:pStyle w:val="FootnoteText"/>
        <w:rPr>
          <w:sz w:val="18"/>
          <w:szCs w:val="18"/>
        </w:rPr>
      </w:pPr>
      <w:r w:rsidRPr="00453D11">
        <w:rPr>
          <w:rStyle w:val="FootnoteReference"/>
          <w:sz w:val="18"/>
          <w:szCs w:val="18"/>
        </w:rPr>
        <w:footnoteRef/>
      </w:r>
      <w:r w:rsidRPr="00453D11">
        <w:rPr>
          <w:sz w:val="18"/>
          <w:szCs w:val="18"/>
        </w:rPr>
        <w:t xml:space="preserve"> Mercurial: subject to sudden or unpredictably changes of mood or mind</w:t>
      </w:r>
    </w:p>
  </w:footnote>
  <w:footnote w:id="23">
    <w:p w:rsidR="00453D11" w:rsidRPr="00453D11" w:rsidRDefault="00453D11">
      <w:pPr>
        <w:pStyle w:val="FootnoteText"/>
        <w:rPr>
          <w:sz w:val="18"/>
          <w:szCs w:val="18"/>
        </w:rPr>
      </w:pPr>
      <w:r w:rsidRPr="00453D11">
        <w:rPr>
          <w:rStyle w:val="FootnoteReference"/>
          <w:sz w:val="18"/>
          <w:szCs w:val="18"/>
        </w:rPr>
        <w:footnoteRef/>
      </w:r>
      <w:r w:rsidRPr="00453D11">
        <w:rPr>
          <w:sz w:val="18"/>
          <w:szCs w:val="18"/>
        </w:rPr>
        <w:t xml:space="preserve"> Congenial: pleasant because of personality, qualities, or interests that are similar to one’s own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8F8"/>
    <w:rsid w:val="001A4E7D"/>
    <w:rsid w:val="00274D79"/>
    <w:rsid w:val="00320CF2"/>
    <w:rsid w:val="00447D31"/>
    <w:rsid w:val="00453D11"/>
    <w:rsid w:val="005C7C8D"/>
    <w:rsid w:val="005D3FCD"/>
    <w:rsid w:val="00630785"/>
    <w:rsid w:val="00701C57"/>
    <w:rsid w:val="008D3483"/>
    <w:rsid w:val="00B03319"/>
    <w:rsid w:val="00BA3E74"/>
    <w:rsid w:val="00C8569F"/>
    <w:rsid w:val="00C918F8"/>
    <w:rsid w:val="00D522B0"/>
    <w:rsid w:val="00E47CBD"/>
    <w:rsid w:val="00EC32C2"/>
    <w:rsid w:val="00F22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E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E74"/>
    <w:rPr>
      <w:rFonts w:ascii="Tahoma" w:hAnsi="Tahoma" w:cs="Tahoma"/>
      <w:sz w:val="16"/>
      <w:szCs w:val="16"/>
    </w:rPr>
  </w:style>
  <w:style w:type="paragraph" w:styleId="FootnoteText">
    <w:name w:val="footnote text"/>
    <w:basedOn w:val="Normal"/>
    <w:link w:val="FootnoteTextChar"/>
    <w:uiPriority w:val="99"/>
    <w:semiHidden/>
    <w:unhideWhenUsed/>
    <w:rsid w:val="00C8569F"/>
    <w:pPr>
      <w:spacing w:line="240" w:lineRule="auto"/>
    </w:pPr>
    <w:rPr>
      <w:sz w:val="20"/>
      <w:szCs w:val="20"/>
    </w:rPr>
  </w:style>
  <w:style w:type="character" w:customStyle="1" w:styleId="FootnoteTextChar">
    <w:name w:val="Footnote Text Char"/>
    <w:basedOn w:val="DefaultParagraphFont"/>
    <w:link w:val="FootnoteText"/>
    <w:uiPriority w:val="99"/>
    <w:semiHidden/>
    <w:rsid w:val="00C8569F"/>
    <w:rPr>
      <w:sz w:val="20"/>
      <w:szCs w:val="20"/>
    </w:rPr>
  </w:style>
  <w:style w:type="character" w:styleId="FootnoteReference">
    <w:name w:val="footnote reference"/>
    <w:basedOn w:val="DefaultParagraphFont"/>
    <w:uiPriority w:val="99"/>
    <w:semiHidden/>
    <w:unhideWhenUsed/>
    <w:rsid w:val="00C8569F"/>
    <w:rPr>
      <w:vertAlign w:val="superscript"/>
    </w:rPr>
  </w:style>
  <w:style w:type="character" w:styleId="Hyperlink">
    <w:name w:val="Hyperlink"/>
    <w:basedOn w:val="DefaultParagraphFont"/>
    <w:uiPriority w:val="99"/>
    <w:unhideWhenUsed/>
    <w:rsid w:val="005C7C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E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E74"/>
    <w:rPr>
      <w:rFonts w:ascii="Tahoma" w:hAnsi="Tahoma" w:cs="Tahoma"/>
      <w:sz w:val="16"/>
      <w:szCs w:val="16"/>
    </w:rPr>
  </w:style>
  <w:style w:type="paragraph" w:styleId="FootnoteText">
    <w:name w:val="footnote text"/>
    <w:basedOn w:val="Normal"/>
    <w:link w:val="FootnoteTextChar"/>
    <w:uiPriority w:val="99"/>
    <w:semiHidden/>
    <w:unhideWhenUsed/>
    <w:rsid w:val="00C8569F"/>
    <w:pPr>
      <w:spacing w:line="240" w:lineRule="auto"/>
    </w:pPr>
    <w:rPr>
      <w:sz w:val="20"/>
      <w:szCs w:val="20"/>
    </w:rPr>
  </w:style>
  <w:style w:type="character" w:customStyle="1" w:styleId="FootnoteTextChar">
    <w:name w:val="Footnote Text Char"/>
    <w:basedOn w:val="DefaultParagraphFont"/>
    <w:link w:val="FootnoteText"/>
    <w:uiPriority w:val="99"/>
    <w:semiHidden/>
    <w:rsid w:val="00C8569F"/>
    <w:rPr>
      <w:sz w:val="20"/>
      <w:szCs w:val="20"/>
    </w:rPr>
  </w:style>
  <w:style w:type="character" w:styleId="FootnoteReference">
    <w:name w:val="footnote reference"/>
    <w:basedOn w:val="DefaultParagraphFont"/>
    <w:uiPriority w:val="99"/>
    <w:semiHidden/>
    <w:unhideWhenUsed/>
    <w:rsid w:val="00C8569F"/>
    <w:rPr>
      <w:vertAlign w:val="superscript"/>
    </w:rPr>
  </w:style>
  <w:style w:type="character" w:styleId="Hyperlink">
    <w:name w:val="Hyperlink"/>
    <w:basedOn w:val="DefaultParagraphFont"/>
    <w:uiPriority w:val="99"/>
    <w:unhideWhenUsed/>
    <w:rsid w:val="005C7C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95185-6733-40B1-918D-619088564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2329</Words>
  <Characters>13278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Tucson Unified School District</Company>
  <LinksUpToDate>false</LinksUpToDate>
  <CharactersWithSpaces>15576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NWTECH</dc:creator>
  <cp:lastModifiedBy>Traquair, Hannah</cp:lastModifiedBy>
  <cp:revision>3</cp:revision>
  <cp:lastPrinted>2015-09-29T14:49:00Z</cp:lastPrinted>
  <dcterms:created xsi:type="dcterms:W3CDTF">2016-09-22T14:53:00Z</dcterms:created>
  <dcterms:modified xsi:type="dcterms:W3CDTF">2016-09-30T17:31:00Z</dcterms:modified>
</cp:coreProperties>
</file>